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ABEAE" w14:textId="77777777" w:rsidR="00AB3641" w:rsidRPr="00BD6603" w:rsidRDefault="00AB3641" w:rsidP="00AB3641">
      <w:pPr>
        <w:ind w:firstLine="4862"/>
        <w:jc w:val="both"/>
        <w:rPr>
          <w:lang w:eastAsia="lt-LT"/>
        </w:rPr>
      </w:pPr>
      <w:r w:rsidRPr="00BD6603">
        <w:rPr>
          <w:lang w:eastAsia="lt-LT"/>
        </w:rPr>
        <w:t>PATVIRTINTA</w:t>
      </w:r>
    </w:p>
    <w:p w14:paraId="05C1D96E" w14:textId="77777777" w:rsidR="00AB3641" w:rsidRPr="00BD6603" w:rsidRDefault="00AB3641" w:rsidP="00AB3641">
      <w:pPr>
        <w:pStyle w:val="Betarp"/>
        <w:ind w:firstLine="4862"/>
        <w:rPr>
          <w:rFonts w:ascii="Times New Roman" w:hAnsi="Times New Roman"/>
          <w:sz w:val="24"/>
          <w:szCs w:val="24"/>
        </w:rPr>
      </w:pPr>
      <w:r w:rsidRPr="00BD6603">
        <w:rPr>
          <w:rFonts w:ascii="Times New Roman" w:hAnsi="Times New Roman"/>
          <w:sz w:val="24"/>
          <w:szCs w:val="24"/>
        </w:rPr>
        <w:t>Klaipėdos rajono savivaldybės tarybos</w:t>
      </w:r>
    </w:p>
    <w:p w14:paraId="78BEF79F" w14:textId="0E0CD42E" w:rsidR="00AB3641" w:rsidRPr="00BD6603" w:rsidRDefault="00AB3641" w:rsidP="00AB3641">
      <w:pPr>
        <w:pStyle w:val="Betarp"/>
        <w:ind w:firstLine="4862"/>
        <w:rPr>
          <w:rFonts w:ascii="Times New Roman" w:hAnsi="Times New Roman"/>
          <w:sz w:val="24"/>
          <w:szCs w:val="24"/>
        </w:rPr>
      </w:pPr>
      <w:r w:rsidRPr="00BD6603">
        <w:rPr>
          <w:rFonts w:ascii="Times New Roman" w:hAnsi="Times New Roman"/>
          <w:sz w:val="24"/>
          <w:szCs w:val="24"/>
        </w:rPr>
        <w:t xml:space="preserve">2020 m. rugsėjo </w:t>
      </w:r>
      <w:r w:rsidR="00537286">
        <w:rPr>
          <w:rFonts w:ascii="Times New Roman" w:hAnsi="Times New Roman"/>
          <w:sz w:val="24"/>
          <w:szCs w:val="24"/>
        </w:rPr>
        <w:t>24</w:t>
      </w:r>
      <w:r w:rsidRPr="00BD6603">
        <w:rPr>
          <w:rFonts w:ascii="Times New Roman" w:hAnsi="Times New Roman"/>
          <w:sz w:val="24"/>
          <w:szCs w:val="24"/>
        </w:rPr>
        <w:t xml:space="preserve"> d. sprendimu Nr. T11-</w:t>
      </w:r>
      <w:r w:rsidR="00D87B21">
        <w:rPr>
          <w:rFonts w:ascii="Times New Roman" w:hAnsi="Times New Roman"/>
          <w:sz w:val="24"/>
          <w:szCs w:val="24"/>
        </w:rPr>
        <w:t>358</w:t>
      </w:r>
    </w:p>
    <w:p w14:paraId="009CFD96" w14:textId="77777777" w:rsidR="00AB3641" w:rsidRPr="00A31FBB" w:rsidRDefault="00AB3641" w:rsidP="00AB3641">
      <w:pPr>
        <w:pStyle w:val="Betarp"/>
        <w:jc w:val="center"/>
        <w:rPr>
          <w:rFonts w:ascii="Times New Roman" w:hAnsi="Times New Roman"/>
          <w:sz w:val="24"/>
          <w:szCs w:val="24"/>
        </w:rPr>
      </w:pPr>
    </w:p>
    <w:p w14:paraId="21B91EFD" w14:textId="77777777" w:rsidR="00AB3641" w:rsidRPr="00BD6603" w:rsidRDefault="00AB3641" w:rsidP="00AB3641">
      <w:pPr>
        <w:pStyle w:val="Betarp"/>
        <w:jc w:val="center"/>
        <w:rPr>
          <w:rFonts w:ascii="Times New Roman" w:hAnsi="Times New Roman"/>
          <w:b/>
          <w:bCs/>
          <w:sz w:val="24"/>
          <w:szCs w:val="24"/>
        </w:rPr>
      </w:pPr>
      <w:r w:rsidRPr="00BD6603">
        <w:rPr>
          <w:rFonts w:ascii="Times New Roman" w:hAnsi="Times New Roman"/>
          <w:b/>
          <w:sz w:val="24"/>
          <w:szCs w:val="24"/>
        </w:rPr>
        <w:t xml:space="preserve">NEKILNOJAMŲJŲ DAIKTŲ PIRKIMO KLAIPĖDOS RAJONO SAVIVALDYBĖS VARDU </w:t>
      </w:r>
      <w:r w:rsidRPr="00BD6603">
        <w:rPr>
          <w:rFonts w:ascii="Times New Roman" w:hAnsi="Times New Roman"/>
          <w:b/>
          <w:bCs/>
          <w:sz w:val="24"/>
          <w:szCs w:val="24"/>
        </w:rPr>
        <w:t>TVARKOS APRAŠAS</w:t>
      </w:r>
    </w:p>
    <w:p w14:paraId="55E68BEE" w14:textId="77777777" w:rsidR="00AB3641" w:rsidRPr="00BD6603" w:rsidRDefault="00AB3641" w:rsidP="00AB3641">
      <w:pPr>
        <w:pStyle w:val="Betarp"/>
        <w:jc w:val="center"/>
        <w:rPr>
          <w:rFonts w:ascii="Times New Roman" w:hAnsi="Times New Roman"/>
          <w:sz w:val="24"/>
          <w:szCs w:val="24"/>
        </w:rPr>
      </w:pPr>
    </w:p>
    <w:p w14:paraId="0892FB66" w14:textId="77777777" w:rsidR="00AB3641" w:rsidRPr="00BD6603" w:rsidRDefault="00AB3641" w:rsidP="00AB3641">
      <w:pPr>
        <w:pStyle w:val="Betarp"/>
        <w:jc w:val="center"/>
        <w:rPr>
          <w:rFonts w:ascii="Times New Roman" w:hAnsi="Times New Roman"/>
          <w:b/>
          <w:bCs/>
          <w:sz w:val="24"/>
          <w:szCs w:val="24"/>
        </w:rPr>
      </w:pPr>
      <w:r w:rsidRPr="00BD6603">
        <w:rPr>
          <w:rFonts w:ascii="Times New Roman" w:hAnsi="Times New Roman"/>
          <w:b/>
          <w:bCs/>
          <w:sz w:val="24"/>
          <w:szCs w:val="24"/>
        </w:rPr>
        <w:t>I SKYRIUS</w:t>
      </w:r>
    </w:p>
    <w:p w14:paraId="09C33041" w14:textId="77777777" w:rsidR="00AB3641" w:rsidRPr="00BD6603" w:rsidRDefault="00AB3641" w:rsidP="00AB3641">
      <w:pPr>
        <w:pStyle w:val="Betarp"/>
        <w:jc w:val="center"/>
        <w:rPr>
          <w:rFonts w:ascii="Times New Roman" w:hAnsi="Times New Roman"/>
          <w:b/>
          <w:bCs/>
          <w:sz w:val="24"/>
          <w:szCs w:val="24"/>
        </w:rPr>
      </w:pPr>
      <w:r w:rsidRPr="00BD6603">
        <w:rPr>
          <w:rFonts w:ascii="Times New Roman" w:hAnsi="Times New Roman"/>
          <w:b/>
          <w:bCs/>
          <w:sz w:val="24"/>
          <w:szCs w:val="24"/>
        </w:rPr>
        <w:t>BENDROSIOS NUOSTATOS</w:t>
      </w:r>
    </w:p>
    <w:p w14:paraId="201EE9EF" w14:textId="77777777" w:rsidR="00AB3641" w:rsidRPr="00BD6603" w:rsidRDefault="00AB3641" w:rsidP="00AB3641">
      <w:pPr>
        <w:pStyle w:val="Betarp"/>
        <w:jc w:val="both"/>
        <w:rPr>
          <w:rFonts w:ascii="Times New Roman" w:hAnsi="Times New Roman"/>
          <w:bCs/>
          <w:sz w:val="24"/>
          <w:szCs w:val="24"/>
        </w:rPr>
      </w:pPr>
    </w:p>
    <w:p w14:paraId="5D0131C4" w14:textId="77777777" w:rsidR="00AB3641" w:rsidRPr="00BD6603" w:rsidRDefault="00AB3641" w:rsidP="00537286">
      <w:pPr>
        <w:ind w:firstLine="1134"/>
        <w:jc w:val="both"/>
        <w:rPr>
          <w:lang w:eastAsia="lt-LT"/>
        </w:rPr>
      </w:pPr>
      <w:r w:rsidRPr="00BD6603">
        <w:rPr>
          <w:lang w:eastAsia="lt-LT"/>
        </w:rPr>
        <w:t>1. Nekilnojamųjų daiktų pirkimo Klaipėdos rajono savivaldybės vardu tvarkos aprašas (toliau – Aprašas) reglamentuoja Klaipėdos rajono savivaldybės (toliau – Savivaldybė) sprendimų, perkant nekilnojamąjį daiktą, priėmimą dėl derybas laimėjusio kandidato ir nekilnojamojo daikto pirkimo savivaldybės vardu pirkimo sutarties sudarymo tvarką.</w:t>
      </w:r>
    </w:p>
    <w:p w14:paraId="11DF1209" w14:textId="77777777" w:rsidR="00AB3641" w:rsidRPr="00BD6603" w:rsidRDefault="00AB3641" w:rsidP="00537286">
      <w:pPr>
        <w:tabs>
          <w:tab w:val="left" w:pos="1560"/>
        </w:tabs>
        <w:ind w:firstLine="1134"/>
        <w:jc w:val="both"/>
      </w:pPr>
      <w:r w:rsidRPr="00BD6603">
        <w:t>2. Aprašas parengtas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Lietuvos Respublikos Vyriausybės tvarkos aprašas).</w:t>
      </w:r>
    </w:p>
    <w:p w14:paraId="35C390FA" w14:textId="77777777" w:rsidR="00AB3641" w:rsidRPr="00BD6603" w:rsidRDefault="00AB3641" w:rsidP="00537286">
      <w:pPr>
        <w:tabs>
          <w:tab w:val="left" w:pos="1560"/>
        </w:tabs>
        <w:ind w:firstLine="1134"/>
        <w:jc w:val="both"/>
      </w:pPr>
      <w:r w:rsidRPr="00BD6603">
        <w:t>3.</w:t>
      </w:r>
      <w:r w:rsidRPr="00BD6603">
        <w:tab/>
        <w:t>Pirkimo komisija</w:t>
      </w:r>
      <w:r w:rsidRPr="00BD6603">
        <w:rPr>
          <w:b/>
          <w:bCs/>
        </w:rPr>
        <w:t xml:space="preserve"> </w:t>
      </w:r>
      <w:r w:rsidRPr="00BD6603">
        <w:t>– Savivaldybės administracijos direktoriaus įsakymu sudaryta komisija nekilnojamųjų daiktų pirkimo procedūroms organizuoti ir atlikti.</w:t>
      </w:r>
    </w:p>
    <w:p w14:paraId="2A9D9905" w14:textId="77777777" w:rsidR="00AB3641" w:rsidRPr="00BD6603" w:rsidRDefault="00AB3641" w:rsidP="00537286">
      <w:pPr>
        <w:tabs>
          <w:tab w:val="left" w:pos="1560"/>
        </w:tabs>
        <w:ind w:firstLine="1134"/>
        <w:jc w:val="both"/>
      </w:pPr>
      <w:r w:rsidRPr="00BD6603">
        <w:t>4.</w:t>
      </w:r>
      <w:r w:rsidRPr="00BD6603">
        <w:tab/>
        <w:t>Apraše vartojamos sąvokos suprantamos taip, kaip jos apibrėžtos Lietuvos Respublikos Vyriausybės tvarkos apraše.</w:t>
      </w:r>
    </w:p>
    <w:p w14:paraId="7B041241" w14:textId="77777777" w:rsidR="00AB3641" w:rsidRPr="00BD6603" w:rsidRDefault="00AB3641" w:rsidP="00AB3641">
      <w:pPr>
        <w:tabs>
          <w:tab w:val="left" w:pos="1560"/>
        </w:tabs>
        <w:ind w:firstLine="1296"/>
        <w:jc w:val="both"/>
      </w:pPr>
    </w:p>
    <w:p w14:paraId="663D45B7" w14:textId="60210FD6" w:rsidR="00AB3641" w:rsidRPr="00BD6603" w:rsidRDefault="00AB3641" w:rsidP="00AB3641">
      <w:pPr>
        <w:pStyle w:val="Betarp"/>
        <w:jc w:val="center"/>
        <w:rPr>
          <w:rFonts w:ascii="Times New Roman" w:hAnsi="Times New Roman"/>
          <w:b/>
          <w:sz w:val="24"/>
          <w:szCs w:val="24"/>
        </w:rPr>
      </w:pPr>
      <w:r w:rsidRPr="00BD6603">
        <w:rPr>
          <w:rFonts w:ascii="Times New Roman" w:hAnsi="Times New Roman"/>
          <w:b/>
          <w:sz w:val="24"/>
          <w:szCs w:val="24"/>
        </w:rPr>
        <w:t>II SKYRIUS</w:t>
      </w:r>
    </w:p>
    <w:p w14:paraId="57A8724B" w14:textId="77777777" w:rsidR="00AB3641" w:rsidRPr="00BD6603" w:rsidRDefault="00AB3641" w:rsidP="00AB3641">
      <w:pPr>
        <w:jc w:val="center"/>
        <w:rPr>
          <w:lang w:eastAsia="lt-LT"/>
        </w:rPr>
      </w:pPr>
      <w:r w:rsidRPr="00BD6603">
        <w:rPr>
          <w:b/>
          <w:bCs/>
          <w:lang w:eastAsia="lt-LT"/>
        </w:rPr>
        <w:t>SPRENDIMŲ PRIĖMIMAS</w:t>
      </w:r>
    </w:p>
    <w:p w14:paraId="743587E7" w14:textId="77777777" w:rsidR="00AB3641" w:rsidRPr="00BD6603" w:rsidRDefault="00AB3641" w:rsidP="00AB3641">
      <w:pPr>
        <w:jc w:val="both"/>
        <w:rPr>
          <w:lang w:eastAsia="lt-LT"/>
        </w:rPr>
      </w:pPr>
    </w:p>
    <w:p w14:paraId="44AB8EE5" w14:textId="27A1EB56" w:rsidR="00AB3641" w:rsidRPr="00BD6603" w:rsidRDefault="00AB3641" w:rsidP="00537286">
      <w:pPr>
        <w:ind w:firstLine="1134"/>
        <w:jc w:val="both"/>
        <w:rPr>
          <w:lang w:eastAsia="lt-LT"/>
        </w:rPr>
      </w:pPr>
      <w:r w:rsidRPr="00BD6603">
        <w:rPr>
          <w:lang w:eastAsia="lt-LT"/>
        </w:rPr>
        <w:t xml:space="preserve">5. Perkant nekilnojamąjį daiktą Savivaldybės nuosavybėn, Pirkimo komisija, atlikusi Lietuvos Respublikos Vyriausybės tvarkos apraše nustatytas procedūras, Savivaldybės administracijos direktoriui pateikia protokolu įformintą sprendimą dėl nekilnojamojo daikto pirkimo Savivaldybės nuosavybėn. Savivaldybės administracijos direktorius, atsižvelgdamas į Pirkimo komisijos protokolą, teikia Savivaldybės tarybai </w:t>
      </w:r>
      <w:r w:rsidR="004867C0">
        <w:rPr>
          <w:lang w:eastAsia="lt-LT"/>
        </w:rPr>
        <w:t>svarstyti</w:t>
      </w:r>
      <w:r w:rsidRPr="00BD6603">
        <w:rPr>
          <w:lang w:eastAsia="lt-LT"/>
        </w:rPr>
        <w:t xml:space="preserve"> sprendimo dėl derybas laimėjusio kandidato pasiūlyto pirkti nekilnojamojo daikto Savivaldybės nuosavybėn projektą. </w:t>
      </w:r>
    </w:p>
    <w:p w14:paraId="0495C947" w14:textId="754CA568" w:rsidR="00AB3641" w:rsidRPr="00BD6603" w:rsidRDefault="00AB3641" w:rsidP="00537286">
      <w:pPr>
        <w:ind w:firstLine="1134"/>
        <w:jc w:val="both"/>
        <w:rPr>
          <w:bCs/>
          <w:lang w:eastAsia="lt-LT"/>
        </w:rPr>
      </w:pPr>
      <w:r w:rsidRPr="00BD6603">
        <w:rPr>
          <w:lang w:eastAsia="lt-LT"/>
        </w:rPr>
        <w:t>6. Savivaldybės taryba</w:t>
      </w:r>
      <w:r w:rsidR="004867C0">
        <w:rPr>
          <w:lang w:eastAsia="lt-LT"/>
        </w:rPr>
        <w:t xml:space="preserve"> </w:t>
      </w:r>
      <w:r w:rsidRPr="00BD6603">
        <w:rPr>
          <w:lang w:eastAsia="lt-LT"/>
        </w:rPr>
        <w:t xml:space="preserve">priima sprendimą dėl derybas laimėjusio kandidato pasiūlymo įsigyti arba neįsigyti nekilnojamąjį daiktą Savivaldybės nuosavybėn. </w:t>
      </w:r>
      <w:r w:rsidRPr="00BD6603">
        <w:rPr>
          <w:bCs/>
          <w:lang w:eastAsia="lt-LT"/>
        </w:rPr>
        <w:t xml:space="preserve">Sprendimas dėl derybas laimėjusio kandidato priimamas ne anksčiau kaip po 7 darbo dienų nuo informacijos apie pasiūlymų eilę ir derybų rezultatus (jei taikomas </w:t>
      </w:r>
      <w:r w:rsidRPr="00BD6603">
        <w:rPr>
          <w:lang w:eastAsia="lt-LT"/>
        </w:rPr>
        <w:t xml:space="preserve">Lietuvos Respublikos Vyriausybės tvarkos </w:t>
      </w:r>
      <w:r w:rsidRPr="00BD6603">
        <w:rPr>
          <w:bCs/>
          <w:lang w:eastAsia="lt-LT"/>
        </w:rPr>
        <w:t>aprašo 53 punktas, nuo patikslintos informacijos apie pasiūlymų eilę ir derybų rezultatus) raštu išsiuntimo visiems derybose dalyvavusiems kandidatams dienos, išskyrus atvejį, kai derybose dalyvauja vienas kandidatas.</w:t>
      </w:r>
    </w:p>
    <w:p w14:paraId="0157535B" w14:textId="77777777" w:rsidR="00AB3641" w:rsidRPr="00BD6603" w:rsidRDefault="00AB3641" w:rsidP="00AB3641">
      <w:pPr>
        <w:ind w:firstLine="720"/>
        <w:jc w:val="both"/>
        <w:rPr>
          <w:lang w:eastAsia="lt-LT"/>
        </w:rPr>
      </w:pPr>
    </w:p>
    <w:p w14:paraId="0E258422" w14:textId="77777777" w:rsidR="00AB3641" w:rsidRPr="00BD6603" w:rsidRDefault="00AB3641" w:rsidP="00AB3641">
      <w:pPr>
        <w:pStyle w:val="Betarp"/>
        <w:jc w:val="center"/>
        <w:rPr>
          <w:rFonts w:ascii="Times New Roman" w:hAnsi="Times New Roman"/>
          <w:b/>
          <w:bCs/>
          <w:sz w:val="24"/>
          <w:szCs w:val="24"/>
        </w:rPr>
      </w:pPr>
      <w:r w:rsidRPr="00BD6603">
        <w:rPr>
          <w:rFonts w:ascii="Times New Roman" w:hAnsi="Times New Roman"/>
          <w:b/>
          <w:bCs/>
          <w:sz w:val="24"/>
          <w:szCs w:val="24"/>
        </w:rPr>
        <w:t>III SKYRIUS</w:t>
      </w:r>
    </w:p>
    <w:p w14:paraId="504AB710" w14:textId="77777777" w:rsidR="00AB3641" w:rsidRPr="00BD6603" w:rsidRDefault="00AB3641" w:rsidP="00AB3641">
      <w:pPr>
        <w:jc w:val="center"/>
        <w:rPr>
          <w:lang w:eastAsia="lt-LT"/>
        </w:rPr>
      </w:pPr>
      <w:r w:rsidRPr="00BD6603">
        <w:rPr>
          <w:b/>
        </w:rPr>
        <w:t>SUTARČIŲ SUDARYMAS</w:t>
      </w:r>
    </w:p>
    <w:p w14:paraId="5D5DB452" w14:textId="77777777" w:rsidR="00AB3641" w:rsidRPr="00BD6603" w:rsidRDefault="00AB3641" w:rsidP="00AB3641">
      <w:pPr>
        <w:jc w:val="both"/>
      </w:pPr>
    </w:p>
    <w:p w14:paraId="6EDB854E" w14:textId="77777777" w:rsidR="00AB3641" w:rsidRPr="00BD6603" w:rsidRDefault="00AB3641" w:rsidP="00537286">
      <w:pPr>
        <w:ind w:firstLine="1134"/>
        <w:jc w:val="both"/>
        <w:rPr>
          <w:bCs/>
        </w:rPr>
      </w:pPr>
      <w:r w:rsidRPr="00BD6603">
        <w:rPr>
          <w:bCs/>
        </w:rPr>
        <w:t>7. Savivaldybės tarybai priėmus sprendimą dėl nekilnojamojo daikto pirkimo Savivaldybės nuosavybėn, Savivaldybės administracijos direktorius ne vėliau kaip per 3 darbo dienas nuo sprendimo įsigyti nekilnojamąjį daiktą Savivaldybės nuosavybėn įsigaliojimo dienos išsiunčia derybas laimėjusiam kandidatui kvietimą sudaryti pirkimo sutartį. Kvietime sudaryti pirkimo sutartį nurodomas ne ilgesnis kaip 10 darbo dienų terminas, per kurį turi būti sudaroma pirkimo sutartis.</w:t>
      </w:r>
    </w:p>
    <w:p w14:paraId="7695E12B" w14:textId="77777777" w:rsidR="00AB3641" w:rsidRPr="00BD6603" w:rsidRDefault="00AB3641" w:rsidP="00537286">
      <w:pPr>
        <w:ind w:firstLine="1134"/>
        <w:jc w:val="both"/>
        <w:rPr>
          <w:lang w:eastAsia="lt-LT"/>
        </w:rPr>
      </w:pPr>
      <w:r w:rsidRPr="00BD6603">
        <w:rPr>
          <w:bCs/>
        </w:rPr>
        <w:t>8. Pirkimo sutartis su derybas dėl nekilnojamojo daikto pirkimo laimėjusiu kandidatu sudaroma derybose sutartomis sąlygomis. Notarinės nekilnojamojo daikto pirkimo sutarties sudarymo išlaidas apmoka nekilnojamojo daikto pirkimo dokumentuose nurodyta sutarties šalis.</w:t>
      </w:r>
    </w:p>
    <w:p w14:paraId="6EEC14BF" w14:textId="77777777" w:rsidR="00AB3641" w:rsidRPr="00BD6603" w:rsidRDefault="00AB3641" w:rsidP="00537286">
      <w:pPr>
        <w:ind w:firstLine="1134"/>
        <w:jc w:val="both"/>
        <w:rPr>
          <w:lang w:eastAsia="lt-LT"/>
        </w:rPr>
      </w:pPr>
      <w:r w:rsidRPr="00BD6603">
        <w:rPr>
          <w:bCs/>
        </w:rPr>
        <w:lastRenderedPageBreak/>
        <w:t>9. Nekilnojamojo daikto pirkimo sutartis sudaroma Lietuvos Respublikos civilinio kodekso, Lietuvos Respublikos žemės įstatymo ir kitų sutarčių sudarymą reglamentuojančių teisės aktų nustatyta tvarka.</w:t>
      </w:r>
    </w:p>
    <w:p w14:paraId="71E4D367" w14:textId="77777777" w:rsidR="00AB3641" w:rsidRPr="00BD6603" w:rsidRDefault="00AB3641" w:rsidP="00537286">
      <w:pPr>
        <w:ind w:firstLine="1134"/>
        <w:jc w:val="both"/>
        <w:rPr>
          <w:lang w:eastAsia="lt-LT"/>
        </w:rPr>
      </w:pPr>
      <w:r w:rsidRPr="00BD6603">
        <w:rPr>
          <w:bCs/>
        </w:rPr>
        <w:t>10. Nekilnojamojo daikto pirkimo sutartis laikoma sudaryta, kai ji pasirašyta abiejų sandorio šalių, patvirtinta notaro. Sutartis privalo būti įregistruota Nekilnojamojo turto registre.</w:t>
      </w:r>
    </w:p>
    <w:p w14:paraId="728F0589" w14:textId="4818DA95" w:rsidR="00AB3641" w:rsidRPr="00BD6603" w:rsidRDefault="00AB3641" w:rsidP="00537286">
      <w:pPr>
        <w:tabs>
          <w:tab w:val="left" w:pos="1560"/>
          <w:tab w:val="left" w:pos="1701"/>
        </w:tabs>
        <w:ind w:firstLine="1134"/>
        <w:jc w:val="both"/>
      </w:pPr>
      <w:r w:rsidRPr="00BD6603">
        <w:t>11.</w:t>
      </w:r>
      <w:r w:rsidRPr="00BD6603">
        <w:tab/>
        <w:t xml:space="preserve">Nekilnojamųjų daiktų pirkimo savivaldybės vardu sutartis pasirašo Savivaldybės </w:t>
      </w:r>
      <w:r w:rsidR="00BD3D47">
        <w:t>administracijos direktorius</w:t>
      </w:r>
      <w:r w:rsidRPr="00BD6603">
        <w:t xml:space="preserve"> ar jo įgaliotas asmuo.</w:t>
      </w:r>
    </w:p>
    <w:p w14:paraId="73D440FE" w14:textId="77777777" w:rsidR="00AB3641" w:rsidRPr="00BD6603" w:rsidRDefault="00AB3641" w:rsidP="00AB3641">
      <w:pPr>
        <w:tabs>
          <w:tab w:val="left" w:pos="1560"/>
          <w:tab w:val="left" w:pos="1701"/>
        </w:tabs>
        <w:ind w:firstLine="1296"/>
        <w:jc w:val="both"/>
      </w:pPr>
    </w:p>
    <w:p w14:paraId="30CE4397" w14:textId="77777777" w:rsidR="00AB3641" w:rsidRPr="00BD6603" w:rsidRDefault="00AB3641" w:rsidP="00AB3641">
      <w:pPr>
        <w:jc w:val="center"/>
      </w:pPr>
      <w:r w:rsidRPr="00BD6603">
        <w:rPr>
          <w:b/>
          <w:bCs/>
        </w:rPr>
        <w:t>IV SKYRIUS</w:t>
      </w:r>
    </w:p>
    <w:p w14:paraId="7403C04F" w14:textId="77777777" w:rsidR="00AB3641" w:rsidRPr="00BD6603" w:rsidRDefault="00AB3641" w:rsidP="00AB3641">
      <w:pPr>
        <w:jc w:val="center"/>
        <w:rPr>
          <w:b/>
          <w:bCs/>
        </w:rPr>
      </w:pPr>
      <w:r w:rsidRPr="00BD6603">
        <w:rPr>
          <w:b/>
          <w:bCs/>
        </w:rPr>
        <w:t>BAIGIAMOSIOS NUOSTATOS</w:t>
      </w:r>
    </w:p>
    <w:p w14:paraId="4EF58957" w14:textId="77777777" w:rsidR="00AB3641" w:rsidRPr="00BD6603" w:rsidRDefault="00AB3641" w:rsidP="00AB3641">
      <w:pPr>
        <w:jc w:val="center"/>
      </w:pPr>
    </w:p>
    <w:p w14:paraId="3CA2A526" w14:textId="4FEBD935" w:rsidR="00AB3641" w:rsidRPr="00BD6603" w:rsidRDefault="00AB3641" w:rsidP="00537286">
      <w:pPr>
        <w:tabs>
          <w:tab w:val="left" w:pos="1560"/>
          <w:tab w:val="left" w:pos="1843"/>
        </w:tabs>
        <w:ind w:firstLine="1134"/>
        <w:jc w:val="both"/>
        <w:rPr>
          <w:bCs/>
        </w:rPr>
      </w:pPr>
      <w:r w:rsidRPr="00BD6603">
        <w:rPr>
          <w:bCs/>
        </w:rPr>
        <w:t>12.</w:t>
      </w:r>
      <w:r w:rsidRPr="00BD6603">
        <w:rPr>
          <w:bCs/>
        </w:rPr>
        <w:tab/>
        <w:t>Šis Aprašas gali būti keičiamas</w:t>
      </w:r>
      <w:r w:rsidR="004867C0">
        <w:rPr>
          <w:bCs/>
        </w:rPr>
        <w:t>, papildomas ar panaikinamas</w:t>
      </w:r>
      <w:r w:rsidRPr="00BD6603">
        <w:rPr>
          <w:bCs/>
        </w:rPr>
        <w:t xml:space="preserve"> Savivaldybės tarybos sprendimu.</w:t>
      </w:r>
    </w:p>
    <w:p w14:paraId="46A674C7" w14:textId="77777777" w:rsidR="00AB3641" w:rsidRPr="00BD6603" w:rsidRDefault="00AB3641" w:rsidP="00AB3641">
      <w:pPr>
        <w:tabs>
          <w:tab w:val="right" w:pos="8730"/>
        </w:tabs>
        <w:spacing w:line="360" w:lineRule="auto"/>
        <w:jc w:val="center"/>
        <w:rPr>
          <w:b/>
        </w:rPr>
      </w:pPr>
    </w:p>
    <w:p w14:paraId="7ADAC530" w14:textId="0DE1FFEA" w:rsidR="00AB3641" w:rsidRPr="00F236F3" w:rsidRDefault="00B94A09" w:rsidP="00AB3641">
      <w:pPr>
        <w:tabs>
          <w:tab w:val="right" w:pos="8730"/>
        </w:tabs>
        <w:spacing w:line="360" w:lineRule="auto"/>
        <w:jc w:val="center"/>
        <w:rPr>
          <w:b/>
        </w:rPr>
      </w:pPr>
      <w:r>
        <w:rPr>
          <w:b/>
        </w:rPr>
        <w:t>________________________</w:t>
      </w:r>
    </w:p>
    <w:p w14:paraId="35CBCCE8" w14:textId="77777777" w:rsidR="00AB3641" w:rsidRPr="00F236F3" w:rsidRDefault="00AB3641" w:rsidP="00AB3641">
      <w:pPr>
        <w:tabs>
          <w:tab w:val="right" w:pos="8730"/>
        </w:tabs>
        <w:spacing w:line="360" w:lineRule="auto"/>
        <w:jc w:val="center"/>
        <w:rPr>
          <w:b/>
        </w:rPr>
      </w:pPr>
    </w:p>
    <w:p w14:paraId="6680AD88" w14:textId="77777777" w:rsidR="00AB3641" w:rsidRPr="00F236F3" w:rsidRDefault="00AB3641" w:rsidP="00AB3641">
      <w:pPr>
        <w:tabs>
          <w:tab w:val="right" w:pos="8730"/>
        </w:tabs>
        <w:spacing w:line="360" w:lineRule="auto"/>
        <w:jc w:val="center"/>
        <w:rPr>
          <w:b/>
        </w:rPr>
      </w:pPr>
    </w:p>
    <w:p w14:paraId="718E1EA8" w14:textId="77777777" w:rsidR="00AB3641" w:rsidRPr="00F236F3" w:rsidRDefault="00AB3641" w:rsidP="00AB3641">
      <w:pPr>
        <w:tabs>
          <w:tab w:val="right" w:pos="8730"/>
        </w:tabs>
        <w:spacing w:line="360" w:lineRule="auto"/>
        <w:jc w:val="center"/>
        <w:rPr>
          <w:b/>
        </w:rPr>
      </w:pPr>
    </w:p>
    <w:p w14:paraId="743B1494" w14:textId="77777777" w:rsidR="00AB3641" w:rsidRPr="00F236F3" w:rsidRDefault="00AB3641" w:rsidP="00AB3641">
      <w:pPr>
        <w:tabs>
          <w:tab w:val="right" w:pos="8730"/>
        </w:tabs>
        <w:spacing w:line="360" w:lineRule="auto"/>
        <w:jc w:val="center"/>
        <w:rPr>
          <w:b/>
        </w:rPr>
      </w:pPr>
    </w:p>
    <w:p w14:paraId="19917438" w14:textId="77777777" w:rsidR="00AB3641" w:rsidRPr="00F236F3" w:rsidRDefault="00AB3641" w:rsidP="00AB3641">
      <w:pPr>
        <w:tabs>
          <w:tab w:val="right" w:pos="8730"/>
        </w:tabs>
        <w:spacing w:line="360" w:lineRule="auto"/>
        <w:jc w:val="center"/>
        <w:rPr>
          <w:b/>
        </w:rPr>
      </w:pPr>
    </w:p>
    <w:p w14:paraId="7C2444F5" w14:textId="77777777" w:rsidR="00AB3641" w:rsidRPr="00F236F3" w:rsidRDefault="00AB3641" w:rsidP="00AB3641">
      <w:pPr>
        <w:tabs>
          <w:tab w:val="right" w:pos="8730"/>
        </w:tabs>
        <w:spacing w:line="360" w:lineRule="auto"/>
        <w:jc w:val="center"/>
        <w:rPr>
          <w:b/>
        </w:rPr>
      </w:pPr>
    </w:p>
    <w:p w14:paraId="16766930" w14:textId="77777777" w:rsidR="00AB3641" w:rsidRPr="00F236F3" w:rsidRDefault="00AB3641" w:rsidP="00AB3641">
      <w:pPr>
        <w:tabs>
          <w:tab w:val="right" w:pos="8730"/>
        </w:tabs>
        <w:spacing w:line="360" w:lineRule="auto"/>
        <w:jc w:val="center"/>
        <w:rPr>
          <w:b/>
        </w:rPr>
      </w:pPr>
    </w:p>
    <w:p w14:paraId="57AE056B" w14:textId="77777777" w:rsidR="00AB3641" w:rsidRPr="00F236F3" w:rsidRDefault="00AB3641" w:rsidP="00AB3641">
      <w:pPr>
        <w:tabs>
          <w:tab w:val="right" w:pos="8730"/>
        </w:tabs>
        <w:spacing w:line="360" w:lineRule="auto"/>
        <w:jc w:val="center"/>
        <w:rPr>
          <w:b/>
        </w:rPr>
      </w:pPr>
    </w:p>
    <w:p w14:paraId="47FB04FE" w14:textId="77777777" w:rsidR="00E33DB0" w:rsidRDefault="00E33DB0"/>
    <w:sectPr w:rsidR="00E33DB0" w:rsidSect="00537286">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EBA8A" w14:textId="77777777" w:rsidR="00BE19ED" w:rsidRDefault="00BE19ED" w:rsidP="007337CA">
      <w:r>
        <w:separator/>
      </w:r>
    </w:p>
  </w:endnote>
  <w:endnote w:type="continuationSeparator" w:id="0">
    <w:p w14:paraId="4550C833" w14:textId="77777777" w:rsidR="00BE19ED" w:rsidRDefault="00BE19ED" w:rsidP="0073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98D2D" w14:textId="77777777" w:rsidR="007337CA" w:rsidRDefault="007337C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9705" w14:textId="77777777" w:rsidR="007337CA" w:rsidRDefault="007337C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6FC30" w14:textId="77777777" w:rsidR="007337CA" w:rsidRDefault="007337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D830E" w14:textId="77777777" w:rsidR="00BE19ED" w:rsidRDefault="00BE19ED" w:rsidP="007337CA">
      <w:r>
        <w:separator/>
      </w:r>
    </w:p>
  </w:footnote>
  <w:footnote w:type="continuationSeparator" w:id="0">
    <w:p w14:paraId="3F4E02F9" w14:textId="77777777" w:rsidR="00BE19ED" w:rsidRDefault="00BE19ED" w:rsidP="00733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83F3" w14:textId="77777777" w:rsidR="007337CA" w:rsidRDefault="007337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926596"/>
      <w:docPartObj>
        <w:docPartGallery w:val="Page Numbers (Top of Page)"/>
        <w:docPartUnique/>
      </w:docPartObj>
    </w:sdtPr>
    <w:sdtEndPr/>
    <w:sdtContent>
      <w:p w14:paraId="158045B9" w14:textId="09ECC415" w:rsidR="00537286" w:rsidRDefault="00537286">
        <w:pPr>
          <w:pStyle w:val="Antrats"/>
          <w:jc w:val="center"/>
        </w:pPr>
        <w:r>
          <w:fldChar w:fldCharType="begin"/>
        </w:r>
        <w:r>
          <w:instrText>PAGE   \* MERGEFORMAT</w:instrText>
        </w:r>
        <w:r>
          <w:fldChar w:fldCharType="separate"/>
        </w:r>
        <w:r>
          <w:t>2</w:t>
        </w:r>
        <w:r>
          <w:fldChar w:fldCharType="end"/>
        </w:r>
      </w:p>
    </w:sdtContent>
  </w:sdt>
  <w:p w14:paraId="4CEDFA95" w14:textId="77777777" w:rsidR="007337CA" w:rsidRDefault="007337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98F3" w14:textId="77777777" w:rsidR="007337CA" w:rsidRDefault="007337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41"/>
    <w:rsid w:val="000B6FA5"/>
    <w:rsid w:val="001014E5"/>
    <w:rsid w:val="003D02E1"/>
    <w:rsid w:val="004867C0"/>
    <w:rsid w:val="00500D74"/>
    <w:rsid w:val="00524626"/>
    <w:rsid w:val="00537286"/>
    <w:rsid w:val="007337CA"/>
    <w:rsid w:val="00822B12"/>
    <w:rsid w:val="00A31FBB"/>
    <w:rsid w:val="00AB3641"/>
    <w:rsid w:val="00B703FC"/>
    <w:rsid w:val="00B94A09"/>
    <w:rsid w:val="00BD3D47"/>
    <w:rsid w:val="00BE19ED"/>
    <w:rsid w:val="00C24AC4"/>
    <w:rsid w:val="00CF5D34"/>
    <w:rsid w:val="00D20AE6"/>
    <w:rsid w:val="00D87B21"/>
    <w:rsid w:val="00E33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7ED2"/>
  <w15:chartTrackingRefBased/>
  <w15:docId w15:val="{4C7D870B-D4BC-4B63-B713-2EC6707F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364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AB3641"/>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7337CA"/>
    <w:pPr>
      <w:tabs>
        <w:tab w:val="center" w:pos="4819"/>
        <w:tab w:val="right" w:pos="9638"/>
      </w:tabs>
    </w:pPr>
  </w:style>
  <w:style w:type="character" w:customStyle="1" w:styleId="AntratsDiagrama">
    <w:name w:val="Antraštės Diagrama"/>
    <w:basedOn w:val="Numatytasispastraiposriftas"/>
    <w:link w:val="Antrats"/>
    <w:uiPriority w:val="99"/>
    <w:rsid w:val="007337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37CA"/>
    <w:pPr>
      <w:tabs>
        <w:tab w:val="center" w:pos="4819"/>
        <w:tab w:val="right" w:pos="9638"/>
      </w:tabs>
    </w:pPr>
  </w:style>
  <w:style w:type="character" w:customStyle="1" w:styleId="PoratDiagrama">
    <w:name w:val="Poraštė Diagrama"/>
    <w:basedOn w:val="Numatytasispastraiposriftas"/>
    <w:link w:val="Porat"/>
    <w:uiPriority w:val="99"/>
    <w:rsid w:val="007337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2460</Words>
  <Characters>1403</Characters>
  <Application>Microsoft Office Word</Application>
  <DocSecurity>0</DocSecurity>
  <Lines>11</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Vytienė</dc:creator>
  <cp:keywords/>
  <dc:description/>
  <cp:lastModifiedBy>Inesa Vytienė</cp:lastModifiedBy>
  <cp:revision>2</cp:revision>
  <dcterms:created xsi:type="dcterms:W3CDTF">2020-10-26T14:12:00Z</dcterms:created>
  <dcterms:modified xsi:type="dcterms:W3CDTF">2020-10-26T14:12:00Z</dcterms:modified>
</cp:coreProperties>
</file>