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8307D" w14:textId="2BD7FB20" w:rsidR="002A4EA4" w:rsidRDefault="002A4EA4" w:rsidP="00AF68D9">
      <w:pPr>
        <w:pStyle w:val="NoSpacing1"/>
        <w:ind w:left="5245"/>
        <w:rPr>
          <w:rFonts w:ascii="Times New Roman" w:hAnsi="Times New Roman"/>
          <w:sz w:val="24"/>
          <w:szCs w:val="24"/>
        </w:rPr>
      </w:pPr>
      <w:r>
        <w:rPr>
          <w:rFonts w:ascii="Times New Roman" w:hAnsi="Times New Roman"/>
          <w:sz w:val="24"/>
          <w:szCs w:val="24"/>
        </w:rPr>
        <w:t>PATVIRTINTA</w:t>
      </w:r>
    </w:p>
    <w:p w14:paraId="3588FC1C" w14:textId="17C9D092" w:rsidR="002A4EA4" w:rsidRDefault="002A4EA4" w:rsidP="00AF68D9">
      <w:pPr>
        <w:pStyle w:val="NoSpacing1"/>
        <w:ind w:left="5245"/>
        <w:jc w:val="both"/>
        <w:rPr>
          <w:rFonts w:ascii="Times New Roman" w:hAnsi="Times New Roman"/>
          <w:sz w:val="24"/>
          <w:szCs w:val="24"/>
        </w:rPr>
      </w:pPr>
      <w:r>
        <w:rPr>
          <w:rFonts w:ascii="Times New Roman" w:hAnsi="Times New Roman"/>
          <w:sz w:val="24"/>
          <w:szCs w:val="24"/>
        </w:rPr>
        <w:t>Klaipėdos rajono savivaldybės tarybos</w:t>
      </w:r>
    </w:p>
    <w:p w14:paraId="247B7577" w14:textId="346F8C74" w:rsidR="002A4EA4" w:rsidRPr="00AF68D9" w:rsidRDefault="002A4EA4" w:rsidP="00AF68D9">
      <w:pPr>
        <w:pStyle w:val="NoSpacing1"/>
        <w:ind w:left="5245"/>
        <w:jc w:val="both"/>
        <w:rPr>
          <w:rFonts w:ascii="Times New Roman" w:hAnsi="Times New Roman"/>
          <w:sz w:val="24"/>
          <w:szCs w:val="24"/>
        </w:rPr>
      </w:pPr>
      <w:r>
        <w:rPr>
          <w:rFonts w:ascii="Times New Roman" w:hAnsi="Times New Roman"/>
          <w:sz w:val="24"/>
          <w:szCs w:val="24"/>
        </w:rPr>
        <w:t>2021 m. kovo</w:t>
      </w:r>
      <w:r w:rsidR="00AF68D9">
        <w:rPr>
          <w:rFonts w:ascii="Times New Roman" w:hAnsi="Times New Roman"/>
          <w:sz w:val="24"/>
          <w:szCs w:val="24"/>
        </w:rPr>
        <w:t xml:space="preserve"> 25</w:t>
      </w:r>
      <w:r>
        <w:rPr>
          <w:rFonts w:ascii="Times New Roman" w:hAnsi="Times New Roman"/>
          <w:sz w:val="24"/>
          <w:szCs w:val="24"/>
        </w:rPr>
        <w:t xml:space="preserve"> </w:t>
      </w:r>
      <w:r w:rsidR="00AF68D9">
        <w:rPr>
          <w:rFonts w:ascii="Times New Roman" w:hAnsi="Times New Roman"/>
          <w:sz w:val="24"/>
          <w:szCs w:val="24"/>
        </w:rPr>
        <w:t xml:space="preserve">d. </w:t>
      </w:r>
      <w:r>
        <w:rPr>
          <w:rFonts w:ascii="Times New Roman" w:hAnsi="Times New Roman"/>
          <w:sz w:val="24"/>
          <w:szCs w:val="24"/>
        </w:rPr>
        <w:t>sprendimu Nr.</w:t>
      </w:r>
      <w:r w:rsidR="00AF68D9">
        <w:rPr>
          <w:rFonts w:ascii="Times New Roman" w:hAnsi="Times New Roman"/>
          <w:sz w:val="24"/>
          <w:szCs w:val="24"/>
        </w:rPr>
        <w:t xml:space="preserve"> T11-</w:t>
      </w:r>
      <w:r w:rsidR="008D6809">
        <w:rPr>
          <w:rFonts w:ascii="Times New Roman" w:hAnsi="Times New Roman"/>
          <w:sz w:val="24"/>
          <w:szCs w:val="24"/>
        </w:rPr>
        <w:t>96</w:t>
      </w:r>
    </w:p>
    <w:p w14:paraId="2F561D1D" w14:textId="77777777" w:rsidR="002A4EA4" w:rsidRPr="00AF68D9" w:rsidRDefault="002A4EA4" w:rsidP="002A4EA4">
      <w:pPr>
        <w:jc w:val="center"/>
        <w:rPr>
          <w:bCs/>
        </w:rPr>
      </w:pPr>
    </w:p>
    <w:p w14:paraId="15A7B4EF" w14:textId="6AD72117" w:rsidR="002A4EA4" w:rsidRDefault="002A4EA4" w:rsidP="002A4EA4">
      <w:pPr>
        <w:jc w:val="center"/>
        <w:rPr>
          <w:b/>
        </w:rPr>
      </w:pPr>
      <w:r>
        <w:rPr>
          <w:b/>
        </w:rPr>
        <w:t xml:space="preserve">KLAIPĖDOS R. </w:t>
      </w:r>
      <w:r>
        <w:rPr>
          <w:b/>
          <w:bCs/>
          <w:szCs w:val="24"/>
        </w:rPr>
        <w:t>AGLUONĖNŲ</w:t>
      </w:r>
      <w:r>
        <w:rPr>
          <w:b/>
        </w:rPr>
        <w:t xml:space="preserve"> PAGRINDINĖS MOKYKLOS </w:t>
      </w:r>
    </w:p>
    <w:p w14:paraId="5DD4EEAB" w14:textId="77777777" w:rsidR="002A4EA4" w:rsidRDefault="002A4EA4" w:rsidP="002A4EA4">
      <w:pPr>
        <w:jc w:val="center"/>
        <w:rPr>
          <w:b/>
        </w:rPr>
      </w:pPr>
      <w:r>
        <w:rPr>
          <w:b/>
        </w:rPr>
        <w:t>2020 METŲ VEIKLOS ATASKAITA</w:t>
      </w:r>
    </w:p>
    <w:p w14:paraId="58B77EA5" w14:textId="77777777" w:rsidR="002A4EA4" w:rsidRPr="00AF68D9" w:rsidRDefault="002A4EA4">
      <w:pPr>
        <w:ind w:firstLine="851"/>
        <w:jc w:val="center"/>
        <w:rPr>
          <w:szCs w:val="24"/>
        </w:rPr>
      </w:pPr>
    </w:p>
    <w:p w14:paraId="2EF336D0" w14:textId="77777777" w:rsidR="00036394" w:rsidRDefault="009F4BD2" w:rsidP="00EF798C">
      <w:pPr>
        <w:shd w:val="clear" w:color="auto" w:fill="FFFFFF" w:themeFill="background1"/>
        <w:ind w:firstLine="851"/>
        <w:jc w:val="both"/>
        <w:rPr>
          <w:szCs w:val="24"/>
        </w:rPr>
      </w:pPr>
      <w:r>
        <w:rPr>
          <w:szCs w:val="24"/>
        </w:rPr>
        <w:t xml:space="preserve">2020 m. rugsėjo 1 d. </w:t>
      </w:r>
      <w:r>
        <w:rPr>
          <w:szCs w:val="24"/>
          <w:lang w:eastAsia="lt-LT"/>
        </w:rPr>
        <w:t>Klaipėdos r. Agluonėnų pagrindinė mokykla (toliau – Mokykla)</w:t>
      </w:r>
      <w:r>
        <w:rPr>
          <w:szCs w:val="24"/>
        </w:rPr>
        <w:t xml:space="preserve"> buvo reorganizuota Klaipėdos r. Agluonėnų lopšelį-darželį ,,Nykštukas“ prijungiant prie Mokyklos. Ikimokyklinio ir priešmokyklinio skyriaus keturiose grupėse ugdomi 75 ugdytiniai, mokykloje – 52 1–10 klasių mokiniai</w:t>
      </w:r>
      <w:r w:rsidRPr="00EF798C">
        <w:rPr>
          <w:szCs w:val="24"/>
        </w:rPr>
        <w:t>.</w:t>
      </w:r>
    </w:p>
    <w:p w14:paraId="407E7004" w14:textId="4045ABF5" w:rsidR="00C53CD5" w:rsidRPr="0090047B" w:rsidRDefault="009F4BD2" w:rsidP="00B8445B">
      <w:pPr>
        <w:ind w:firstLine="851"/>
        <w:jc w:val="both"/>
      </w:pPr>
      <w:r w:rsidRPr="0090047B">
        <w:t>Mokykloje dirba 2</w:t>
      </w:r>
      <w:r w:rsidR="00FB443D" w:rsidRPr="0090047B">
        <w:t>2</w:t>
      </w:r>
      <w:r w:rsidRPr="0090047B">
        <w:t xml:space="preserve"> mokytojai; pagalbos mokiniu specialistai: spec. pedagogas, psichologas, socialinis pedagogas; bibliotekininkas; muzikinio ugdymo vadovas; 23 nepedagoginiai darbuotojai.</w:t>
      </w:r>
      <w:r w:rsidR="00B8445B">
        <w:t xml:space="preserve"> </w:t>
      </w:r>
      <w:r w:rsidRPr="0090047B">
        <w:t>Ikimokykliniame ir priešmokykliniame skyriuje dirba 7 mokytojos: 1 mokytoja metodininkė, 4 vyr. mokytojos. 2 mokytojos mokosi KVK pagal ikimokyklinės ir priešmokyklinės pedagogikos studijų programą. Pradinio ir pagrindinio ugdymo programas įgyvendina 1</w:t>
      </w:r>
      <w:r w:rsidR="00FB443D" w:rsidRPr="0090047B">
        <w:t>5</w:t>
      </w:r>
      <w:r w:rsidRPr="0090047B">
        <w:t xml:space="preserve"> mokytojų, iš kurių 3 – metodininkai, 12 vyr. mokytojų. Visi pradinio ir pagrindinio ugdymo programas įgyvendinantys mokytojai atitinka kvalifikacinius reikalavimus</w:t>
      </w:r>
      <w:r w:rsidR="00FB443D" w:rsidRPr="0090047B">
        <w:t>.</w:t>
      </w:r>
    </w:p>
    <w:p w14:paraId="4D9C1D5F" w14:textId="77777777" w:rsidR="00C53CD5" w:rsidRDefault="009F4BD2">
      <w:pPr>
        <w:ind w:firstLine="851"/>
        <w:jc w:val="both"/>
      </w:pPr>
      <w:r w:rsidRPr="00EF798C">
        <w:rPr>
          <w:szCs w:val="24"/>
        </w:rPr>
        <w:t>Pradinio ir pagrindinio ugdymo programas įgyvendinantys mokytojai 2020</w:t>
      </w:r>
      <w:r>
        <w:rPr>
          <w:szCs w:val="24"/>
        </w:rPr>
        <w:t xml:space="preserve"> m. kvalifikaciją tobulino vidutiniškai 9 dienas. Pagalbos mokiniui specialistai kvalifikaciją tobulino vidutiniškai 11dienų. </w:t>
      </w:r>
    </w:p>
    <w:p w14:paraId="791FB022" w14:textId="77777777" w:rsidR="00C53CD5" w:rsidRDefault="009F4BD2">
      <w:pPr>
        <w:ind w:firstLine="851"/>
        <w:jc w:val="both"/>
      </w:pPr>
      <w:r>
        <w:rPr>
          <w:szCs w:val="24"/>
          <w:lang w:eastAsia="lt-LT"/>
        </w:rPr>
        <w:t>Mokyklos 2020–2022 metų strateginio plano veiklos tikslai: gerinti u</w:t>
      </w:r>
      <w:r>
        <w:rPr>
          <w:bCs/>
          <w:iCs/>
          <w:szCs w:val="24"/>
        </w:rPr>
        <w:t>gdymo(si) kokybę, kurti sveikatai palankią ugdymosi aplinką ir stiprinti bendruomeniškumą. Strateginės programos: m</w:t>
      </w:r>
      <w:r>
        <w:rPr>
          <w:szCs w:val="24"/>
        </w:rPr>
        <w:t>otyvuojančių ugdymo(si) aplinkų kūrimas mokinių ugdymosi ir mokyklos pažangai, sveikatai palankaus elgesio ugdymas, bendruomenės sutelktumas kuriant dialogo ir susitarimų kultūrą.</w:t>
      </w:r>
    </w:p>
    <w:p w14:paraId="4FB4F466" w14:textId="5A05882F" w:rsidR="00C53CD5" w:rsidRDefault="009F4BD2">
      <w:pPr>
        <w:ind w:firstLine="851"/>
        <w:jc w:val="both"/>
      </w:pPr>
      <w:r>
        <w:rPr>
          <w:bCs/>
          <w:iCs/>
          <w:szCs w:val="24"/>
        </w:rPr>
        <w:t xml:space="preserve">2020–2021 m. m. veiklos plane numatyti du  tikslai: </w:t>
      </w:r>
      <w:r>
        <w:rPr>
          <w:bCs/>
          <w:iCs/>
        </w:rPr>
        <w:t>k</w:t>
      </w:r>
      <w:r>
        <w:t>urti motyvuojančias ugdymo(si) aplinkas, k</w:t>
      </w:r>
      <w:r>
        <w:rPr>
          <w:szCs w:val="24"/>
        </w:rPr>
        <w:t>urti sveikatą stiprinančią, saugią aplinką.  Kiekvienam tikslui įgyvendinti numatyti penki uždaviniai.</w:t>
      </w:r>
    </w:p>
    <w:p w14:paraId="6C10C432" w14:textId="21465E13" w:rsidR="00C53CD5" w:rsidRDefault="009F4BD2">
      <w:pPr>
        <w:ind w:firstLine="851"/>
        <w:jc w:val="both"/>
      </w:pPr>
      <w:r>
        <w:rPr>
          <w:szCs w:val="24"/>
        </w:rPr>
        <w:t xml:space="preserve">Įgyvendinant strateginę programą – </w:t>
      </w:r>
      <w:r>
        <w:rPr>
          <w:i/>
          <w:iCs/>
          <w:szCs w:val="24"/>
        </w:rPr>
        <w:t>Motyvuojančių ugdymo(si) aplinkų kūrimas mokinių ugdymosi ir mokyklos pažangai</w:t>
      </w:r>
      <w:r>
        <w:rPr>
          <w:szCs w:val="24"/>
        </w:rPr>
        <w:t xml:space="preserve"> – Mokykla taikė individualios pažangos matavimo sistemą, mokytojai ir klasių vadovai stebėjo kiekvieno mokinio individualią pažangą. Mokytojai dalyko pamokų turinį planavo atsižvelgdami į klasės gebėjimų lygį, orientavosi į netradicinių pamokų organizavimą, praktinių įgūdžių ugdymą. Stebėjo signalinius pusmečių vertinimus, kiekvieno mokomojo dalyko mokinių individualią pažangą. Esant poreikiui, Vaiko gerovės komisijoje buvo numatomos pagalbos priemonės nesėkmę patiriantiems mokiniams. 85 proc. mokytojų vedė pamokas netradicinėse erdvėse. </w:t>
      </w:r>
      <w:r>
        <w:rPr>
          <w:szCs w:val="24"/>
          <w:lang w:eastAsia="lt-LT"/>
        </w:rPr>
        <w:t>Ugdomoji veikla buvo vykdoma seniūnijoje, savivaldybėje, gaisrinėje, muziejuose, viešojoje bibliotekoje, gamtoje ir kt.</w:t>
      </w:r>
    </w:p>
    <w:p w14:paraId="5A439585" w14:textId="77777777" w:rsidR="00C53CD5" w:rsidRDefault="009F4BD2">
      <w:pPr>
        <w:ind w:firstLine="851"/>
        <w:jc w:val="both"/>
        <w:rPr>
          <w:color w:val="000000"/>
        </w:rPr>
      </w:pPr>
      <w:r>
        <w:rPr>
          <w:color w:val="000000"/>
        </w:rPr>
        <w:t xml:space="preserve">Mokiniai dalyvavo Kultūros paso programoje. </w:t>
      </w:r>
    </w:p>
    <w:p w14:paraId="6DCBE3C2" w14:textId="77777777" w:rsidR="00C53CD5" w:rsidRDefault="009F4BD2">
      <w:pPr>
        <w:ind w:firstLine="851"/>
        <w:jc w:val="both"/>
        <w:rPr>
          <w:szCs w:val="24"/>
        </w:rPr>
      </w:pPr>
      <w:r>
        <w:rPr>
          <w:szCs w:val="24"/>
        </w:rPr>
        <w:t xml:space="preserve">Mokykla nuo 2019 metų rugsėjo 1 dienos dirba su Moodle aplinka. Karantino laikotarpiu ugdymui nuotoliniu būdu  buvo naudojama: Moodle aplinka, Zoom, EDUKA, EMA, TAMO. Visiems mokytojams ir mokiniams sukurti Mokyklos elektroniniai paštai.  </w:t>
      </w:r>
    </w:p>
    <w:p w14:paraId="41ED7E84" w14:textId="07554A34" w:rsidR="00C53CD5" w:rsidRDefault="009F4BD2" w:rsidP="002A4EA4">
      <w:pPr>
        <w:ind w:firstLine="851"/>
        <w:jc w:val="both"/>
        <w:rPr>
          <w:szCs w:val="24"/>
        </w:rPr>
      </w:pPr>
      <w:r>
        <w:rPr>
          <w:szCs w:val="24"/>
        </w:rPr>
        <w:t>Mokykla įsigijo EDUKA ir Vyturio leidyklos licencijas. Mokytojams buvo organizuoti mokymai ,,Virtualios mokymosi aplinkos M</w:t>
      </w:r>
      <w:r w:rsidR="00A8042A">
        <w:rPr>
          <w:szCs w:val="24"/>
        </w:rPr>
        <w:t>oodle</w:t>
      </w:r>
      <w:r>
        <w:rPr>
          <w:szCs w:val="24"/>
        </w:rPr>
        <w:t xml:space="preserve"> panaudojimas“, paskirtas M</w:t>
      </w:r>
      <w:r w:rsidR="00A8042A">
        <w:rPr>
          <w:szCs w:val="24"/>
        </w:rPr>
        <w:t>oodle</w:t>
      </w:r>
      <w:r>
        <w:rPr>
          <w:szCs w:val="24"/>
        </w:rPr>
        <w:t xml:space="preserve"> aplinkos administratorius-konsultantas Mokykloje. Sėkmingam nuotoliniam darbui užtikrinti nupirktos  grafinės planšetės,  kompiuterių kameros.     </w:t>
      </w:r>
    </w:p>
    <w:p w14:paraId="4F1B5D4D" w14:textId="7F96F85B" w:rsidR="00C53CD5" w:rsidRDefault="009F4BD2">
      <w:pPr>
        <w:ind w:firstLine="851"/>
        <w:jc w:val="both"/>
      </w:pPr>
      <w:r>
        <w:rPr>
          <w:szCs w:val="24"/>
        </w:rPr>
        <w:t>Mokykla parengė projektą tarptautinių mobilumo veiklų ,,Erazmus+“ akreditacijai.</w:t>
      </w:r>
    </w:p>
    <w:p w14:paraId="67D73A85" w14:textId="77777777" w:rsidR="00C53CD5" w:rsidRDefault="009F4BD2">
      <w:pPr>
        <w:ind w:firstLine="851"/>
        <w:jc w:val="both"/>
        <w:rPr>
          <w:szCs w:val="24"/>
        </w:rPr>
      </w:pPr>
      <w:r>
        <w:rPr>
          <w:szCs w:val="24"/>
        </w:rPr>
        <w:t>2019–2020 m. m. Mokyklos pažangumas buvo 100 proc., lankomumas – 100 proc.</w:t>
      </w:r>
    </w:p>
    <w:p w14:paraId="46ED0191" w14:textId="77777777" w:rsidR="00C53CD5" w:rsidRDefault="009F4BD2">
      <w:pPr>
        <w:ind w:firstLine="851"/>
        <w:jc w:val="both"/>
        <w:rPr>
          <w:szCs w:val="24"/>
        </w:rPr>
      </w:pPr>
      <w:r>
        <w:rPr>
          <w:szCs w:val="24"/>
        </w:rPr>
        <w:t>Lyginant dvejų mokslo metų ugdymo rezultatus pagal vertinimo lygius, 6–8 klasių rezultatai liko nepakitę. Nežymiai sumažėjo 9 klasės mokinių, besimokančių pagrindiniu lygiu. Tam įtakos turėjo mokymasis nuotoliniu būdu (1 grafikas).</w:t>
      </w:r>
    </w:p>
    <w:p w14:paraId="0D61FE2E" w14:textId="77777777" w:rsidR="00C53CD5" w:rsidRDefault="00C53CD5">
      <w:pPr>
        <w:ind w:firstLine="851"/>
        <w:jc w:val="both"/>
        <w:rPr>
          <w:szCs w:val="24"/>
        </w:rPr>
      </w:pPr>
    </w:p>
    <w:p w14:paraId="0360F0C6" w14:textId="77777777" w:rsidR="00C53CD5" w:rsidRDefault="00C53CD5">
      <w:pPr>
        <w:ind w:firstLine="851"/>
        <w:jc w:val="both"/>
        <w:rPr>
          <w:szCs w:val="24"/>
        </w:rPr>
      </w:pPr>
    </w:p>
    <w:p w14:paraId="2824C4D3" w14:textId="00E7CCC5" w:rsidR="00C53CD5" w:rsidRDefault="009F4BD2" w:rsidP="00AF68D9">
      <w:pPr>
        <w:jc w:val="both"/>
        <w:rPr>
          <w:szCs w:val="24"/>
        </w:rPr>
      </w:pPr>
      <w:r>
        <w:rPr>
          <w:szCs w:val="24"/>
        </w:rPr>
        <w:lastRenderedPageBreak/>
        <w:t>1 grafikas</w:t>
      </w:r>
    </w:p>
    <w:p w14:paraId="1FD9E13E" w14:textId="113AFAD0" w:rsidR="00C53CD5" w:rsidRDefault="009F4BD2" w:rsidP="00AF68D9">
      <w:pPr>
        <w:ind w:hanging="426"/>
        <w:jc w:val="both"/>
      </w:pPr>
      <w:r>
        <w:rPr>
          <w:noProof/>
          <w:szCs w:val="24"/>
        </w:rPr>
        <w:drawing>
          <wp:inline distT="0" distB="0" distL="0" distR="0" wp14:anchorId="60B50693" wp14:editId="1BCA2CFE">
            <wp:extent cx="6153153" cy="2270126"/>
            <wp:effectExtent l="0" t="0" r="0" b="0"/>
            <wp:docPr id="1"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EB4BE74" w14:textId="77777777" w:rsidR="00AF68D9" w:rsidRDefault="00AF68D9" w:rsidP="00AF68D9">
      <w:pPr>
        <w:ind w:hanging="426"/>
        <w:jc w:val="both"/>
      </w:pPr>
    </w:p>
    <w:p w14:paraId="04A2BC5A" w14:textId="16FB2728" w:rsidR="00C53CD5" w:rsidRDefault="009F4BD2" w:rsidP="00AF68D9">
      <w:pPr>
        <w:ind w:firstLine="851"/>
        <w:jc w:val="both"/>
      </w:pPr>
      <w:r>
        <w:t>5 klasės mokiniai dalyvavo 2020 m. Nacionaliniame mokinių pasiekimų patikrinime. Matematikos žinių patikrinime mokiniai vidutiniškai surinko 52 proc. balų, pasaulio pažinimo – 80 proc., skaitymo – 81 proc. balų.</w:t>
      </w:r>
    </w:p>
    <w:p w14:paraId="72207E57" w14:textId="3AA8B570" w:rsidR="00C53CD5" w:rsidRDefault="009F4BD2">
      <w:pPr>
        <w:ind w:firstLine="851"/>
        <w:jc w:val="both"/>
      </w:pPr>
      <w:r>
        <w:rPr>
          <w:szCs w:val="24"/>
        </w:rPr>
        <w:t>Ikimokyklinio ir priešmokyklinio skyriaus ugdytiniai dalyvavo respublikiniame gamtosaugos konkurse ,,Mažieji sodeliai“, socialinėje-meninėje akcijoje ,,Skirtukas knygai“, ekologiniame-etniniame projekte ,,Užauginsiu duonelę pats“, akcijoje ,,Padovanokime sergančiajam nuotaiką ir šypseną“, iššūkyje ,,10 000 žingsnių yra vieni juokai!“. Mokiniai dalyvavo ,,Europos egzamine 2020“, ,,Istorijos kengūroje 2020“, konkurse ,,Lietuvos istorijos žinovas 2020“, edukaciniuose konkursuose ,,Olympis“ (6 medaliai), Nacionaliniame diktante, Nacionalinėje aplinkosaugos olimpiadoje, Klaipėdos rajono visuomenės sveikatos biuro konkurse ,,Aktyviausia klasės pertrauka“, 7–9 klasių viktorinoje ,,Ar žinai“, SEU olimpiadoje ,,Dramblys“.</w:t>
      </w:r>
    </w:p>
    <w:p w14:paraId="639BD1E7" w14:textId="77777777" w:rsidR="00C53CD5" w:rsidRPr="002A4EA4" w:rsidRDefault="009F4BD2">
      <w:pPr>
        <w:ind w:firstLine="851"/>
        <w:jc w:val="both"/>
      </w:pPr>
      <w:r>
        <w:rPr>
          <w:szCs w:val="24"/>
        </w:rPr>
        <w:t xml:space="preserve">Iki pandemijos pradinių klasių mokiniai lankė plaukimo pamokas ,,Klaipėdos baseine“. </w:t>
      </w:r>
      <w:r w:rsidRPr="002A4EA4">
        <w:rPr>
          <w:szCs w:val="24"/>
        </w:rPr>
        <w:t xml:space="preserve">Mokykla sudarė galimybes įstaigoje vykdyti NVŠ programas Mokyklos mokiniams: ,,Audimo pasaulyje“ ir </w:t>
      </w:r>
      <w:r w:rsidRPr="002A4EA4">
        <w:rPr>
          <w:shd w:val="clear" w:color="auto" w:fill="FFFFFF"/>
        </w:rPr>
        <w:t>Kyokushin Karate.</w:t>
      </w:r>
      <w:r w:rsidRPr="002A4EA4">
        <w:rPr>
          <w:szCs w:val="24"/>
        </w:rPr>
        <w:t xml:space="preserve"> Programą ,,Audimo pasaulyje“ lankė 50 proc. mokinių. </w:t>
      </w:r>
      <w:r w:rsidRPr="002A4EA4">
        <w:rPr>
          <w:shd w:val="clear" w:color="auto" w:fill="FFFFFF"/>
        </w:rPr>
        <w:t>Kyokushin Karate varžybose 9 mokiniai apsigynė oranžinį diržą, 3 mokiniai – oranžinį diržą su mėlyna juostele.</w:t>
      </w:r>
    </w:p>
    <w:p w14:paraId="6BD08653" w14:textId="77777777" w:rsidR="00C53CD5" w:rsidRPr="002A4EA4" w:rsidRDefault="009F4BD2">
      <w:pPr>
        <w:ind w:firstLine="851"/>
        <w:jc w:val="both"/>
        <w:rPr>
          <w:shd w:val="clear" w:color="auto" w:fill="FFFFFF"/>
        </w:rPr>
      </w:pPr>
      <w:r w:rsidRPr="002A4EA4">
        <w:rPr>
          <w:shd w:val="clear" w:color="auto" w:fill="FFFFFF"/>
        </w:rPr>
        <w:t>Geriausiai besimokantys ir didžiausią pažangą padarę mokiniai turėjo galimybę apsilankyti Tarptautinėje turizmo parodoje ,,Adventur 2020“ ir dalyvauti interaktyviose pamokose.</w:t>
      </w:r>
    </w:p>
    <w:p w14:paraId="39BDFE36" w14:textId="77777777" w:rsidR="00C53CD5" w:rsidRDefault="009F4BD2">
      <w:pPr>
        <w:ind w:firstLine="851"/>
        <w:jc w:val="both"/>
      </w:pPr>
      <w:r w:rsidRPr="002A4EA4">
        <w:t xml:space="preserve">Mokyklos informacinių technologijų mokytoja Daiva Kačinskienė V Nacionalinėje </w:t>
      </w:r>
      <w:r>
        <w:t>švietimo įstaigų projektų parodoje ,,Projektų mugė“ pristatė Mokyklos saugaus interneto veiklas  ,,Mėlyno meškiuko saugaus interneto kampanija 2020“ ir vedė mokymus šalies mokytojams.</w:t>
      </w:r>
    </w:p>
    <w:p w14:paraId="48CE325C" w14:textId="006A1658" w:rsidR="00C53CD5" w:rsidRDefault="009F4BD2">
      <w:pPr>
        <w:ind w:firstLine="851"/>
        <w:jc w:val="both"/>
      </w:pPr>
      <w:r>
        <w:rPr>
          <w:szCs w:val="24"/>
        </w:rPr>
        <w:t xml:space="preserve">Įgyvendinant strateginę programą – </w:t>
      </w:r>
      <w:r>
        <w:rPr>
          <w:i/>
          <w:iCs/>
          <w:szCs w:val="24"/>
        </w:rPr>
        <w:t>Sveikatai palankaus elgesio ugdymas</w:t>
      </w:r>
      <w:r>
        <w:rPr>
          <w:szCs w:val="24"/>
        </w:rPr>
        <w:t xml:space="preserve"> – Mokykloje nuosekliai vykdoma LIONS QUEST socialinių ir emocinių kompetencijų ugdymo programa. Vieną kartą per savaitę tvarkaraštyje numatytu metu vedamos klasės valandėlės. Mokytojai socialinių ir emocinių kompetencijų ugdymą integruoja į dalykų programas. Mokyklos mokytojai yra baigę LIONS QUEST mokymus. 2020 m. penkių pedagogų komanda baigė SEU mokymus ,,Penki įsitraukusio mokymo matmenys“. Gegužės mėnesį Mokyklos pedagogams buvo organizuoti mokymai: „Psichologinio atsparumo didinimo“ ir „Pozityvaus mokyklos mikroklimato kūrimas“. </w:t>
      </w:r>
    </w:p>
    <w:p w14:paraId="296EDDF9" w14:textId="754558BC" w:rsidR="00C53CD5" w:rsidRDefault="009F4BD2" w:rsidP="002A4EA4">
      <w:pPr>
        <w:ind w:firstLine="851"/>
        <w:jc w:val="both"/>
      </w:pPr>
      <w:r>
        <w:rPr>
          <w:szCs w:val="24"/>
        </w:rPr>
        <w:t xml:space="preserve">Įgyvendinant strateginę programą – </w:t>
      </w:r>
      <w:r>
        <w:rPr>
          <w:i/>
          <w:iCs/>
          <w:szCs w:val="24"/>
        </w:rPr>
        <w:t>Bendruomenės sutelktumas kuriant dialogo ir susitarimų kultūrą</w:t>
      </w:r>
      <w:r>
        <w:rPr>
          <w:szCs w:val="24"/>
        </w:rPr>
        <w:t xml:space="preserve"> – po reorganizacijos Mokykloje</w:t>
      </w:r>
      <w:r>
        <w:rPr>
          <w:szCs w:val="24"/>
          <w:lang w:eastAsia="lt-LT"/>
        </w:rPr>
        <w:t xml:space="preserve"> atlikti struktūriniai pakeitimai. Parengti reikalingi nauji dokumentai ar nauja jų redakcija: pareigybių aprašymai; redaguoti  darbuotojų darbo apmokėjimo tvarkos aprašas, vidaus tvarkos taisyklės; sudarytos ir patvirtintos naujos ugdymo, ūkinės veiklos valdymo darbo grupės. Atliktas Darbuotojų psichologinės gerovės tyrimas (darbuotojų emocinė būsena per reorganizacijos procesą, po reorganizacijos, santykiai su administracija, kolegomis ir kt.). </w:t>
      </w:r>
    </w:p>
    <w:p w14:paraId="1D46582D" w14:textId="14A0D8DD" w:rsidR="00C53CD5" w:rsidRDefault="009F4BD2" w:rsidP="002A4EA4">
      <w:pPr>
        <w:ind w:firstLine="851"/>
        <w:jc w:val="both"/>
        <w:rPr>
          <w:szCs w:val="24"/>
          <w:lang w:eastAsia="lt-LT"/>
        </w:rPr>
      </w:pPr>
      <w:r>
        <w:rPr>
          <w:szCs w:val="24"/>
          <w:lang w:eastAsia="lt-LT"/>
        </w:rPr>
        <w:t xml:space="preserve">95 proc. darbuotojų patenkinti reorganizacijos procesu, 90 proc. darbuotojų patenkinti reorganizacijos rezultatais. Dėl reorganizacijos nesaugiai jautėsi 53 proc. darbuotojų. Po </w:t>
      </w:r>
      <w:r>
        <w:rPr>
          <w:szCs w:val="24"/>
          <w:lang w:eastAsia="lt-LT"/>
        </w:rPr>
        <w:lastRenderedPageBreak/>
        <w:t xml:space="preserve">reorganizacijos 80 proc. darbuotojų jaučiasi gerai. 15 proc. darbuotojų nurodė, kad jų emocinė būklė nepasikeitė. </w:t>
      </w:r>
    </w:p>
    <w:p w14:paraId="2EB16B19" w14:textId="79AC402B" w:rsidR="00C53CD5" w:rsidRDefault="009F4BD2" w:rsidP="002A4EA4">
      <w:pPr>
        <w:ind w:firstLine="851"/>
        <w:jc w:val="both"/>
        <w:rPr>
          <w:szCs w:val="24"/>
          <w:lang w:eastAsia="lt-LT"/>
        </w:rPr>
      </w:pPr>
      <w:r>
        <w:rPr>
          <w:szCs w:val="24"/>
          <w:lang w:eastAsia="lt-LT"/>
        </w:rPr>
        <w:t>Atliktas mokinių emocinės būklės nuotolinio ugdymo metu tyrimas. Nuotolinio mokymosi procesas aiškus ir suprantamas 78 proc. mokinių. 67 proc. mokinių nesusiduria su jokiais nuotolinio darbo sunkumais. Toks pat procentas mokinių nepatiria streso dėl nuotolinio mokymosi. 11 proc. mokinių patiria techninių sunkumų dėl lėto interneto ar jo trikdžių, 22 proc. mokinių sunku mokytis namie dėl didelės šeimos ,asmeninės darbo vietos trūkumo.</w:t>
      </w:r>
    </w:p>
    <w:p w14:paraId="67667320" w14:textId="6026A010" w:rsidR="00C53CD5" w:rsidRDefault="009F4BD2" w:rsidP="002A4EA4">
      <w:pPr>
        <w:ind w:firstLine="851"/>
        <w:jc w:val="both"/>
      </w:pPr>
      <w:r>
        <w:rPr>
          <w:szCs w:val="24"/>
          <w:lang w:eastAsia="lt-LT"/>
        </w:rPr>
        <w:t>Darbuotojų psichologinės gerovės ir mokinių emocinės būklės nuotolinio ugdymo metu tyrimų rezultatai naudojami darbuotojų ir mokinių gerai emocinei būklei užtikrinti ir poreikiams tenkinti.</w:t>
      </w:r>
    </w:p>
    <w:p w14:paraId="605B72AE" w14:textId="0507DA55" w:rsidR="00C53CD5" w:rsidRDefault="009F4BD2" w:rsidP="002A4EA4">
      <w:pPr>
        <w:ind w:firstLine="851"/>
        <w:jc w:val="both"/>
      </w:pPr>
      <w:r>
        <w:t xml:space="preserve">Mokykloje užtikrintas sklandus ir sėkmingas nuotolinio ugdymo proceso organizavimas  karantino metu. Buvo sudaryta ekstremalios situacijos valdymo grupė, parengti organizuojant ugdymo procesą nuotoliniu būdu reikalingi dokumentai: Mokyklos veiklos planas nuotolinio darbo metu, </w:t>
      </w:r>
      <w:r>
        <w:rPr>
          <w:szCs w:val="24"/>
        </w:rPr>
        <w:t xml:space="preserve">Mokymo nuotoliniu būdu taisyklės,  </w:t>
      </w:r>
      <w:r>
        <w:rPr>
          <w:bCs/>
        </w:rPr>
        <w:t>Covid-19 valdymo algoritmai. ŠMSM, Savivald</w:t>
      </w:r>
      <w:r w:rsidR="007E04C2">
        <w:rPr>
          <w:bCs/>
        </w:rPr>
        <w:t xml:space="preserve">ybei buvo </w:t>
      </w:r>
      <w:r>
        <w:t xml:space="preserve">teikiamos ataskaitos. Darbuotojai buvo aprūpinti asmeninės apsaugos ir higienos priemonėmis. Pageidaujantiems darbuotojams buvo sudarytos sąlygos tirtis greitaisiais antikūno testais, atlikti Covid-19 testus. </w:t>
      </w:r>
    </w:p>
    <w:p w14:paraId="2F4B782B" w14:textId="19C1AA33" w:rsidR="00C53CD5" w:rsidRDefault="009F4BD2" w:rsidP="002A4EA4">
      <w:pPr>
        <w:ind w:firstLine="851"/>
        <w:jc w:val="both"/>
      </w:pPr>
      <w:r>
        <w:rPr>
          <w:szCs w:val="24"/>
        </w:rPr>
        <w:t xml:space="preserve">2020 m. sutaupyta 6,2 proc. savivaldybės biudžeto lėšų dalis pagal 2020 m. patvirtintą biudžetą. Mokykla gavo papildomų lėšų: </w:t>
      </w:r>
      <w:r>
        <w:t>iš Valstybinės mokesčių inspekcijos grąžinta parama GPM – 999,94 Eur, VšĮ „Baltija LT“ skyrė 1000 Eur paramą. Mokyklos darbuotojai už VšĮ „Baltija LT“ skirtos paramos lėšas š</w:t>
      </w:r>
      <w:r>
        <w:rPr>
          <w:szCs w:val="24"/>
          <w:lang w:eastAsia="lt-LT"/>
        </w:rPr>
        <w:t>iuolaikiškai įrengė asmens higienos patalpas pradinių klasių korpuse ir atliko kitų remonto darbų.</w:t>
      </w:r>
    </w:p>
    <w:p w14:paraId="7D4DE63B" w14:textId="0A07D779" w:rsidR="00C53CD5" w:rsidRDefault="009F4BD2" w:rsidP="002A4EA4">
      <w:pPr>
        <w:ind w:firstLine="851"/>
        <w:jc w:val="both"/>
        <w:rPr>
          <w:szCs w:val="24"/>
          <w:lang w:eastAsia="lt-LT"/>
        </w:rPr>
      </w:pPr>
      <w:r>
        <w:rPr>
          <w:szCs w:val="24"/>
          <w:lang w:eastAsia="lt-LT"/>
        </w:rPr>
        <w:t>Aktualios problemos: Mokykloje ir skyriuje ugdymo procesas organizuojamas pagal keturias ugdymo programas. Tinkamam ugdymo kokybės užtikrinimui reikalingas 0,5 etato direktoriaus pavaduotojo ugdymui.</w:t>
      </w:r>
    </w:p>
    <w:p w14:paraId="308652C1" w14:textId="69E1E32B" w:rsidR="00C53CD5" w:rsidRDefault="009F4BD2" w:rsidP="002A4EA4">
      <w:pPr>
        <w:ind w:firstLine="851"/>
        <w:jc w:val="both"/>
      </w:pPr>
      <w:r>
        <w:t>Mokyklos lauko takų, aikštelių danga duobėta, nesant nutekėjimo, įvažiavimas į Mokyklą per lietų būna visiškai užliejamas, todėl būtinos lėšos lauko aplinkai tinkamai sutvarkyti.</w:t>
      </w:r>
    </w:p>
    <w:p w14:paraId="2C21908E" w14:textId="19D4DAE4" w:rsidR="00C53CD5" w:rsidRDefault="009F4BD2" w:rsidP="002A4EA4">
      <w:pPr>
        <w:ind w:firstLine="851"/>
        <w:jc w:val="both"/>
      </w:pPr>
      <w:r>
        <w:rPr>
          <w:szCs w:val="24"/>
          <w:lang w:eastAsia="lt-LT"/>
        </w:rPr>
        <w:t>Mokyklinis autobusas, įsigytas 2007 m., yra nusidėvėjęs</w:t>
      </w:r>
      <w:r>
        <w:t>. Autobuso kėbulas yra paveiktas korozijos, kiekvienais metais vis daugiau lėšų reikia tinkamai techninei būklei užtikrinti. Mokyklą būtina įtraukti į eilę naujo autobuso įsigijimui.</w:t>
      </w:r>
    </w:p>
    <w:p w14:paraId="3422CBBB" w14:textId="35EEA1FF" w:rsidR="002A4EA4" w:rsidRDefault="002A4EA4" w:rsidP="002A4EA4">
      <w:pPr>
        <w:ind w:firstLine="851"/>
        <w:jc w:val="both"/>
      </w:pPr>
    </w:p>
    <w:p w14:paraId="1EC97E0B" w14:textId="5362E13D" w:rsidR="002A4EA4" w:rsidRDefault="002A4EA4" w:rsidP="002A4EA4">
      <w:pPr>
        <w:jc w:val="center"/>
      </w:pPr>
      <w:r>
        <w:t>_____________________________</w:t>
      </w:r>
    </w:p>
    <w:p w14:paraId="1EB35448" w14:textId="77777777" w:rsidR="00C53CD5" w:rsidRDefault="00C53CD5">
      <w:pPr>
        <w:pStyle w:val="Default"/>
        <w:ind w:firstLine="709"/>
        <w:jc w:val="both"/>
      </w:pPr>
    </w:p>
    <w:sectPr w:rsidR="00C53CD5" w:rsidSect="00AF68D9">
      <w:headerReference w:type="default" r:id="rId7"/>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23E33" w14:textId="77777777" w:rsidR="00657182" w:rsidRDefault="00657182">
      <w:r>
        <w:separator/>
      </w:r>
    </w:p>
  </w:endnote>
  <w:endnote w:type="continuationSeparator" w:id="0">
    <w:p w14:paraId="5B5692A7" w14:textId="77777777" w:rsidR="00657182" w:rsidRDefault="0065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94B19" w14:textId="77777777" w:rsidR="00657182" w:rsidRDefault="00657182">
      <w:r>
        <w:rPr>
          <w:color w:val="000000"/>
        </w:rPr>
        <w:separator/>
      </w:r>
    </w:p>
  </w:footnote>
  <w:footnote w:type="continuationSeparator" w:id="0">
    <w:p w14:paraId="4D33AEFD" w14:textId="77777777" w:rsidR="00657182" w:rsidRDefault="00657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3140292"/>
      <w:docPartObj>
        <w:docPartGallery w:val="Page Numbers (Top of Page)"/>
        <w:docPartUnique/>
      </w:docPartObj>
    </w:sdtPr>
    <w:sdtEndPr/>
    <w:sdtContent>
      <w:p w14:paraId="6FDFDF24" w14:textId="2AC308C4" w:rsidR="00AA044E" w:rsidRDefault="00AA044E">
        <w:pPr>
          <w:pStyle w:val="Antrats"/>
          <w:jc w:val="center"/>
        </w:pPr>
        <w:r>
          <w:fldChar w:fldCharType="begin"/>
        </w:r>
        <w:r>
          <w:instrText>PAGE   \* MERGEFORMAT</w:instrText>
        </w:r>
        <w:r>
          <w:fldChar w:fldCharType="separate"/>
        </w:r>
        <w:r>
          <w:t>2</w:t>
        </w:r>
        <w:r>
          <w:fldChar w:fldCharType="end"/>
        </w:r>
      </w:p>
    </w:sdtContent>
  </w:sdt>
  <w:p w14:paraId="656C1019" w14:textId="77777777" w:rsidR="00AA044E" w:rsidRDefault="00AA044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CD5"/>
    <w:rsid w:val="00036394"/>
    <w:rsid w:val="002306D0"/>
    <w:rsid w:val="002A4EA4"/>
    <w:rsid w:val="003B27EA"/>
    <w:rsid w:val="003D09CB"/>
    <w:rsid w:val="003D4275"/>
    <w:rsid w:val="00444FCA"/>
    <w:rsid w:val="00657182"/>
    <w:rsid w:val="007E04C2"/>
    <w:rsid w:val="008D6809"/>
    <w:rsid w:val="0090047B"/>
    <w:rsid w:val="00992592"/>
    <w:rsid w:val="009D7DE8"/>
    <w:rsid w:val="009F4BD2"/>
    <w:rsid w:val="00A06A57"/>
    <w:rsid w:val="00A8042A"/>
    <w:rsid w:val="00AA044E"/>
    <w:rsid w:val="00AF68D9"/>
    <w:rsid w:val="00B25F3F"/>
    <w:rsid w:val="00B501E8"/>
    <w:rsid w:val="00B8445B"/>
    <w:rsid w:val="00BE310F"/>
    <w:rsid w:val="00C53CD5"/>
    <w:rsid w:val="00EA3FEF"/>
    <w:rsid w:val="00EF798C"/>
    <w:rsid w:val="00FB44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A7DBE"/>
  <w15:docId w15:val="{42934F6E-97E0-423F-B1CF-F87A35FE2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imes New Roman" w:eastAsia="Times New Roman" w:hAnsi="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customStyle="1" w:styleId="Default">
    <w:name w:val="Default"/>
    <w:pPr>
      <w:suppressAutoHyphens/>
      <w:autoSpaceDE w:val="0"/>
      <w:spacing w:after="0"/>
      <w:textAlignment w:val="auto"/>
    </w:pPr>
    <w:rPr>
      <w:rFonts w:ascii="Times New Roman" w:hAnsi="Times New Roman"/>
      <w:color w:val="000000"/>
      <w:sz w:val="24"/>
      <w:szCs w:val="24"/>
      <w:lang w:eastAsia="lt-LT"/>
    </w:rPr>
  </w:style>
  <w:style w:type="character" w:customStyle="1" w:styleId="NoSpacingChar">
    <w:name w:val="No Spacing Char"/>
    <w:link w:val="NoSpacing1"/>
    <w:locked/>
    <w:rsid w:val="002A4EA4"/>
    <w:rPr>
      <w:rFonts w:cs="Calibri"/>
    </w:rPr>
  </w:style>
  <w:style w:type="paragraph" w:customStyle="1" w:styleId="NoSpacing1">
    <w:name w:val="No Spacing1"/>
    <w:link w:val="NoSpacingChar"/>
    <w:qFormat/>
    <w:rsid w:val="002A4EA4"/>
    <w:pPr>
      <w:autoSpaceDN/>
      <w:spacing w:after="0"/>
      <w:textAlignment w:val="auto"/>
    </w:pPr>
    <w:rPr>
      <w:rFonts w:cs="Calibri"/>
    </w:rPr>
  </w:style>
  <w:style w:type="paragraph" w:styleId="Antrats">
    <w:name w:val="header"/>
    <w:basedOn w:val="prastasis"/>
    <w:link w:val="AntratsDiagrama"/>
    <w:uiPriority w:val="99"/>
    <w:unhideWhenUsed/>
    <w:rsid w:val="00AA044E"/>
    <w:pPr>
      <w:tabs>
        <w:tab w:val="center" w:pos="4819"/>
        <w:tab w:val="right" w:pos="9638"/>
      </w:tabs>
    </w:pPr>
  </w:style>
  <w:style w:type="character" w:customStyle="1" w:styleId="AntratsDiagrama">
    <w:name w:val="Antraštės Diagrama"/>
    <w:basedOn w:val="Numatytasispastraiposriftas"/>
    <w:link w:val="Antrats"/>
    <w:uiPriority w:val="99"/>
    <w:rsid w:val="00AA044E"/>
    <w:rPr>
      <w:rFonts w:ascii="Times New Roman" w:eastAsia="Times New Roman" w:hAnsi="Times New Roman"/>
      <w:sz w:val="24"/>
      <w:szCs w:val="20"/>
    </w:rPr>
  </w:style>
  <w:style w:type="paragraph" w:styleId="Porat">
    <w:name w:val="footer"/>
    <w:basedOn w:val="prastasis"/>
    <w:link w:val="PoratDiagrama"/>
    <w:uiPriority w:val="99"/>
    <w:unhideWhenUsed/>
    <w:rsid w:val="00AA044E"/>
    <w:pPr>
      <w:tabs>
        <w:tab w:val="center" w:pos="4819"/>
        <w:tab w:val="right" w:pos="9638"/>
      </w:tabs>
    </w:pPr>
  </w:style>
  <w:style w:type="character" w:customStyle="1" w:styleId="PoratDiagrama">
    <w:name w:val="Poraštė Diagrama"/>
    <w:basedOn w:val="Numatytasispastraiposriftas"/>
    <w:link w:val="Porat"/>
    <w:uiPriority w:val="99"/>
    <w:rsid w:val="00AA044E"/>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5239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c:style val="2"/>
  <c:chart>
    <c:title>
      <c:tx>
        <c:rich>
          <a:bodyPr lIns="0" tIns="0" rIns="0" bIns="0"/>
          <a:lstStyle/>
          <a:p>
            <a:pPr marL="0" marR="0" indent="0" algn="ctr" defTabSz="914400" fontAlgn="auto" hangingPunct="1">
              <a:lnSpc>
                <a:spcPct val="100000"/>
              </a:lnSpc>
              <a:spcBef>
                <a:spcPts val="0"/>
              </a:spcBef>
              <a:spcAft>
                <a:spcPts val="0"/>
              </a:spcAft>
              <a:tabLst/>
              <a:defRPr lang="lt-LT" sz="1400" b="0" i="0" u="none" strike="noStrike" kern="1200" spc="0" baseline="0">
                <a:solidFill>
                  <a:srgbClr val="595959"/>
                </a:solidFill>
                <a:latin typeface="Calibri"/>
              </a:defRPr>
            </a:pPr>
            <a:r>
              <a:rPr lang="lt-LT" sz="1400" b="0" i="0" u="none" strike="noStrike" kern="1200" cap="none" spc="0" baseline="0">
                <a:solidFill>
                  <a:srgbClr val="595959"/>
                </a:solidFill>
                <a:uFillTx/>
                <a:latin typeface="Calibri"/>
              </a:rPr>
              <a:t>5–9 klasių mokymosi rezultatai pagal vertinimo lygius</a:t>
            </a:r>
          </a:p>
        </c:rich>
      </c:tx>
      <c:overlay val="0"/>
      <c:spPr>
        <a:noFill/>
        <a:ln>
          <a:noFill/>
        </a:ln>
      </c:spPr>
    </c:title>
    <c:autoTitleDeleted val="0"/>
    <c:plotArea>
      <c:layout/>
      <c:barChart>
        <c:barDir val="col"/>
        <c:grouping val="clustered"/>
        <c:varyColors val="0"/>
        <c:ser>
          <c:idx val="0"/>
          <c:order val="0"/>
          <c:tx>
            <c:v>Aukštesnysis</c:v>
          </c:tx>
          <c:spPr>
            <a:solidFill>
              <a:srgbClr val="4472C4"/>
            </a:solidFill>
            <a:ln>
              <a:noFill/>
            </a:ln>
          </c:spPr>
          <c:invertIfNegative val="0"/>
          <c:cat>
            <c:strLit>
              <c:ptCount val="9"/>
              <c:pt idx="0">
                <c:v>5 klasė</c:v>
              </c:pt>
              <c:pt idx="1">
                <c:v>5 klasė 2018–2019</c:v>
              </c:pt>
              <c:pt idx="2">
                <c:v>6 klasė 2019–2020</c:v>
              </c:pt>
              <c:pt idx="3">
                <c:v>6 klasė 2018–2019</c:v>
              </c:pt>
              <c:pt idx="4">
                <c:v>7 klasė 2019–2020</c:v>
              </c:pt>
              <c:pt idx="5">
                <c:v>7 klasė 2018–2019</c:v>
              </c:pt>
              <c:pt idx="6">
                <c:v>8 klasė 2019–2020</c:v>
              </c:pt>
              <c:pt idx="7">
                <c:v>8 klasė 2018–2019</c:v>
              </c:pt>
              <c:pt idx="8">
                <c:v>9 klasė 2019–2020</c:v>
              </c:pt>
            </c:strLit>
          </c:cat>
          <c:val>
            <c:numLit>
              <c:formatCode>General</c:formatCode>
              <c:ptCount val="9"/>
              <c:pt idx="0">
                <c:v>0</c:v>
              </c:pt>
              <c:pt idx="1">
                <c:v>33</c:v>
              </c:pt>
              <c:pt idx="2">
                <c:v>33</c:v>
              </c:pt>
              <c:pt idx="3">
                <c:v>20</c:v>
              </c:pt>
              <c:pt idx="4">
                <c:v>20</c:v>
              </c:pt>
              <c:pt idx="5">
                <c:v>50</c:v>
              </c:pt>
              <c:pt idx="6">
                <c:v>50</c:v>
              </c:pt>
              <c:pt idx="7">
                <c:v>0</c:v>
              </c:pt>
              <c:pt idx="8">
                <c:v>0</c:v>
              </c:pt>
            </c:numLit>
          </c:val>
          <c:extLst>
            <c:ext xmlns:c16="http://schemas.microsoft.com/office/drawing/2014/chart" uri="{C3380CC4-5D6E-409C-BE32-E72D297353CC}">
              <c16:uniqueId val="{00000000-80A3-4787-AC14-EE193124F92C}"/>
            </c:ext>
          </c:extLst>
        </c:ser>
        <c:ser>
          <c:idx val="1"/>
          <c:order val="1"/>
          <c:tx>
            <c:v>Pagrindinis</c:v>
          </c:tx>
          <c:spPr>
            <a:solidFill>
              <a:srgbClr val="ED7D31"/>
            </a:solidFill>
            <a:ln>
              <a:noFill/>
            </a:ln>
          </c:spPr>
          <c:invertIfNegative val="0"/>
          <c:cat>
            <c:strLit>
              <c:ptCount val="9"/>
              <c:pt idx="0">
                <c:v>5 klasė</c:v>
              </c:pt>
              <c:pt idx="1">
                <c:v>5 klasė 2018–2019</c:v>
              </c:pt>
              <c:pt idx="2">
                <c:v>6 klasė 2019–2020</c:v>
              </c:pt>
              <c:pt idx="3">
                <c:v>6 klasė 2018–2019</c:v>
              </c:pt>
              <c:pt idx="4">
                <c:v>7 klasė 2019–2020</c:v>
              </c:pt>
              <c:pt idx="5">
                <c:v>7 klasė 2018–2019</c:v>
              </c:pt>
              <c:pt idx="6">
                <c:v>8 klasė 2019–2020</c:v>
              </c:pt>
              <c:pt idx="7">
                <c:v>8 klasė 2018–2019</c:v>
              </c:pt>
              <c:pt idx="8">
                <c:v>9 klasė 2019–2020</c:v>
              </c:pt>
            </c:strLit>
          </c:cat>
          <c:val>
            <c:numLit>
              <c:formatCode>General</c:formatCode>
              <c:ptCount val="9"/>
              <c:pt idx="0">
                <c:v>100</c:v>
              </c:pt>
              <c:pt idx="1">
                <c:v>67</c:v>
              </c:pt>
              <c:pt idx="2">
                <c:v>67</c:v>
              </c:pt>
              <c:pt idx="3">
                <c:v>80</c:v>
              </c:pt>
              <c:pt idx="4">
                <c:v>80</c:v>
              </c:pt>
              <c:pt idx="5">
                <c:v>50</c:v>
              </c:pt>
              <c:pt idx="6">
                <c:v>50</c:v>
              </c:pt>
              <c:pt idx="7">
                <c:v>88</c:v>
              </c:pt>
              <c:pt idx="8">
                <c:v>77</c:v>
              </c:pt>
            </c:numLit>
          </c:val>
          <c:extLst>
            <c:ext xmlns:c16="http://schemas.microsoft.com/office/drawing/2014/chart" uri="{C3380CC4-5D6E-409C-BE32-E72D297353CC}">
              <c16:uniqueId val="{00000001-80A3-4787-AC14-EE193124F92C}"/>
            </c:ext>
          </c:extLst>
        </c:ser>
        <c:ser>
          <c:idx val="2"/>
          <c:order val="2"/>
          <c:tx>
            <c:v>Patenkinamas</c:v>
          </c:tx>
          <c:spPr>
            <a:solidFill>
              <a:srgbClr val="A5A5A5"/>
            </a:solidFill>
            <a:ln>
              <a:noFill/>
            </a:ln>
          </c:spPr>
          <c:invertIfNegative val="0"/>
          <c:cat>
            <c:strLit>
              <c:ptCount val="9"/>
              <c:pt idx="0">
                <c:v>5 klasė</c:v>
              </c:pt>
              <c:pt idx="1">
                <c:v>5 klasė 2018–2019</c:v>
              </c:pt>
              <c:pt idx="2">
                <c:v>6 klasė 2019–2020</c:v>
              </c:pt>
              <c:pt idx="3">
                <c:v>6 klasė 2018–2019</c:v>
              </c:pt>
              <c:pt idx="4">
                <c:v>7 klasė 2019–2020</c:v>
              </c:pt>
              <c:pt idx="5">
                <c:v>7 klasė 2018–2019</c:v>
              </c:pt>
              <c:pt idx="6">
                <c:v>8 klasė 2019–2020</c:v>
              </c:pt>
              <c:pt idx="7">
                <c:v>8 klasė 2018–2019</c:v>
              </c:pt>
              <c:pt idx="8">
                <c:v>9 klasė 2019–2020</c:v>
              </c:pt>
            </c:strLit>
          </c:cat>
          <c:val>
            <c:numLit>
              <c:formatCode>General</c:formatCode>
              <c:ptCount val="9"/>
              <c:pt idx="0">
                <c:v>0</c:v>
              </c:pt>
              <c:pt idx="1">
                <c:v>0</c:v>
              </c:pt>
              <c:pt idx="2">
                <c:v>0</c:v>
              </c:pt>
              <c:pt idx="3">
                <c:v>0</c:v>
              </c:pt>
              <c:pt idx="4">
                <c:v>0</c:v>
              </c:pt>
              <c:pt idx="5">
                <c:v>0</c:v>
              </c:pt>
              <c:pt idx="6">
                <c:v>0</c:v>
              </c:pt>
              <c:pt idx="7">
                <c:v>22</c:v>
              </c:pt>
              <c:pt idx="8">
                <c:v>33</c:v>
              </c:pt>
            </c:numLit>
          </c:val>
          <c:extLst>
            <c:ext xmlns:c16="http://schemas.microsoft.com/office/drawing/2014/chart" uri="{C3380CC4-5D6E-409C-BE32-E72D297353CC}">
              <c16:uniqueId val="{00000002-80A3-4787-AC14-EE193124F92C}"/>
            </c:ext>
          </c:extLst>
        </c:ser>
        <c:dLbls>
          <c:showLegendKey val="0"/>
          <c:showVal val="0"/>
          <c:showCatName val="0"/>
          <c:showSerName val="0"/>
          <c:showPercent val="0"/>
          <c:showBubbleSize val="0"/>
        </c:dLbls>
        <c:gapWidth val="219"/>
        <c:overlap val="-27"/>
        <c:axId val="225254504"/>
        <c:axId val="225256800"/>
      </c:barChart>
      <c:valAx>
        <c:axId val="225256800"/>
        <c:scaling>
          <c:orientation val="minMax"/>
        </c:scaling>
        <c:delete val="0"/>
        <c:axPos val="l"/>
        <c:majorGridlines>
          <c:spPr>
            <a:ln w="9528" cap="flat">
              <a:solidFill>
                <a:srgbClr val="D9D9D9"/>
              </a:solidFill>
              <a:prstDash val="solid"/>
              <a:round/>
            </a:ln>
          </c:spPr>
        </c:majorGridlines>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595959"/>
                </a:solidFill>
                <a:latin typeface="Calibri"/>
              </a:defRPr>
            </a:pPr>
            <a:endParaRPr lang="lt-LT"/>
          </a:p>
        </c:txPr>
        <c:crossAx val="225254504"/>
        <c:crosses val="autoZero"/>
        <c:crossBetween val="between"/>
      </c:valAx>
      <c:catAx>
        <c:axId val="225254504"/>
        <c:scaling>
          <c:orientation val="minMax"/>
        </c:scaling>
        <c:delete val="0"/>
        <c:axPos val="b"/>
        <c:numFmt formatCode="General" sourceLinked="0"/>
        <c:majorTickMark val="none"/>
        <c:minorTickMark val="none"/>
        <c:tickLblPos val="nextTo"/>
        <c:spPr>
          <a:noFill/>
          <a:ln w="6345" cap="flat">
            <a:solidFill>
              <a:srgbClr val="89898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000" b="0" i="0" u="none" strike="noStrike" kern="1200" baseline="0">
                <a:solidFill>
                  <a:srgbClr val="000000"/>
                </a:solidFill>
                <a:latin typeface="Calibri"/>
              </a:defRPr>
            </a:pPr>
            <a:endParaRPr lang="lt-LT"/>
          </a:p>
        </c:txPr>
        <c:crossAx val="225256800"/>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595959"/>
              </a:solidFill>
              <a:latin typeface="Calibri"/>
            </a:defRPr>
          </a:pPr>
          <a:endParaRPr lang="lt-LT"/>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000" b="0" i="0" u="none" strike="noStrike" kern="1200" baseline="0">
          <a:solidFill>
            <a:srgbClr val="000000"/>
          </a:solidFill>
          <a:latin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5785</Words>
  <Characters>3298</Characters>
  <Application>Microsoft Office Word</Application>
  <DocSecurity>0</DocSecurity>
  <Lines>27</Lines>
  <Paragraphs>18</Paragraphs>
  <ScaleCrop>false</ScaleCrop>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dc:creator>
  <dc:description/>
  <cp:lastModifiedBy>Dainora Daugeliene</cp:lastModifiedBy>
  <cp:revision>5</cp:revision>
  <dcterms:created xsi:type="dcterms:W3CDTF">2021-03-17T07:01:00Z</dcterms:created>
  <dcterms:modified xsi:type="dcterms:W3CDTF">2021-03-26T11:22:00Z</dcterms:modified>
</cp:coreProperties>
</file>