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D8E4D5D"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6C7F55">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0D389E75" w14:textId="77777777" w:rsidR="0014715F" w:rsidRPr="00CE57FE" w:rsidRDefault="0014715F" w:rsidP="005F735B">
      <w:pPr>
        <w:pStyle w:val="statymopavad"/>
        <w:spacing w:line="240" w:lineRule="auto"/>
        <w:ind w:firstLine="0"/>
        <w:rPr>
          <w:rFonts w:ascii="Times New Roman" w:hAnsi="Times New Roman"/>
          <w:b/>
          <w:spacing w:val="20"/>
          <w:sz w:val="28"/>
        </w:rPr>
      </w:pPr>
    </w:p>
    <w:p w14:paraId="0C27C043" w14:textId="56BE7DEB"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130CF">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 xml:space="preserve">m. </w:t>
      </w:r>
      <w:r w:rsidR="00021D5B">
        <w:rPr>
          <w:rFonts w:ascii="Times New Roman" w:hAnsi="Times New Roman"/>
          <w:caps w:val="0"/>
          <w:szCs w:val="24"/>
        </w:rPr>
        <w:t>rugpjūčio 2</w:t>
      </w:r>
      <w:r w:rsidR="009935BE">
        <w:rPr>
          <w:rFonts w:ascii="Times New Roman" w:hAnsi="Times New Roman"/>
          <w:caps w:val="0"/>
          <w:szCs w:val="24"/>
        </w:rPr>
        <w:t>5</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00691E9D" w14:textId="77777777" w:rsidR="0014715F" w:rsidRDefault="0014715F"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298EFE62" w14:textId="77777777" w:rsidR="006C7F55" w:rsidRDefault="00C8250C" w:rsidP="006C7F55">
      <w:pPr>
        <w:tabs>
          <w:tab w:val="left" w:pos="567"/>
          <w:tab w:val="left" w:pos="1134"/>
        </w:tabs>
        <w:jc w:val="both"/>
      </w:pPr>
      <w:r>
        <w:tab/>
      </w:r>
      <w:r>
        <w:tab/>
      </w:r>
      <w:r w:rsidR="006C7F55">
        <w:t>Pakeisti gatvių geografines charakteristikas:</w:t>
      </w:r>
    </w:p>
    <w:p w14:paraId="6DC1B4C3" w14:textId="088B0CAB" w:rsidR="006C7F55" w:rsidRDefault="006C7F55" w:rsidP="006C7F55">
      <w:pPr>
        <w:ind w:firstLine="1134"/>
        <w:jc w:val="both"/>
      </w:pPr>
      <w:r>
        <w:t xml:space="preserve">1. </w:t>
      </w:r>
      <w:r w:rsidR="00021D5B">
        <w:t>Endriejavo</w:t>
      </w:r>
      <w:r>
        <w:t xml:space="preserve"> seniūnijoje, </w:t>
      </w:r>
      <w:proofErr w:type="spellStart"/>
      <w:r w:rsidR="00021D5B">
        <w:t>Laigių</w:t>
      </w:r>
      <w:proofErr w:type="spellEnd"/>
      <w:r>
        <w:t xml:space="preserve"> kaime esanči</w:t>
      </w:r>
      <w:r w:rsidR="009935BE">
        <w:t>os</w:t>
      </w:r>
      <w:r>
        <w:t xml:space="preserve"> </w:t>
      </w:r>
      <w:proofErr w:type="spellStart"/>
      <w:r w:rsidR="00021D5B">
        <w:t>Laigių</w:t>
      </w:r>
      <w:proofErr w:type="spellEnd"/>
      <w:r>
        <w:t xml:space="preserve"> gatvės (pagal pridedamą priedą).</w:t>
      </w:r>
    </w:p>
    <w:p w14:paraId="3B40A1C3" w14:textId="77102D09" w:rsidR="006C7F55" w:rsidRDefault="006C7F55" w:rsidP="006C7F55">
      <w:pPr>
        <w:ind w:firstLine="1134"/>
        <w:jc w:val="both"/>
      </w:pPr>
      <w:r>
        <w:t xml:space="preserve">2. </w:t>
      </w:r>
      <w:r w:rsidR="00021D5B">
        <w:t>Endriejavo</w:t>
      </w:r>
      <w:r>
        <w:t xml:space="preserve"> seniūnijoje, </w:t>
      </w:r>
      <w:r w:rsidR="00021D5B">
        <w:t>Ližių kaime</w:t>
      </w:r>
      <w:r>
        <w:t xml:space="preserve"> esanči</w:t>
      </w:r>
      <w:r w:rsidR="009935BE">
        <w:t>os</w:t>
      </w:r>
      <w:r>
        <w:t xml:space="preserve"> </w:t>
      </w:r>
      <w:proofErr w:type="spellStart"/>
      <w:r w:rsidR="00021D5B">
        <w:t>Laigių</w:t>
      </w:r>
      <w:proofErr w:type="spellEnd"/>
      <w:r>
        <w:t xml:space="preserve"> gatvės (pagal pridedamą priedą).</w:t>
      </w:r>
    </w:p>
    <w:p w14:paraId="04C9725F" w14:textId="49284F78" w:rsidR="00C8250C" w:rsidRDefault="006C7F55" w:rsidP="006C7F55">
      <w:pPr>
        <w:ind w:firstLine="1134"/>
        <w:jc w:val="both"/>
      </w:pPr>
      <w:r>
        <w:rPr>
          <w:lang w:val="en-US"/>
        </w:rPr>
        <w:t xml:space="preserve">3. </w:t>
      </w:r>
      <w:r w:rsidR="00021D5B">
        <w:rPr>
          <w:lang w:val="en-US"/>
        </w:rPr>
        <w:t>Endriejavo</w:t>
      </w:r>
      <w:r w:rsidR="00A10A8C">
        <w:rPr>
          <w:lang w:val="en-US"/>
        </w:rPr>
        <w:t xml:space="preserve"> </w:t>
      </w:r>
      <w:r>
        <w:t xml:space="preserve">seniūnijoje, </w:t>
      </w:r>
      <w:r w:rsidR="00021D5B">
        <w:t>Žadeikių</w:t>
      </w:r>
      <w:r>
        <w:t xml:space="preserve"> kaime esanči</w:t>
      </w:r>
      <w:r w:rsidR="009935BE">
        <w:t>os</w:t>
      </w:r>
      <w:r>
        <w:t xml:space="preserve"> </w:t>
      </w:r>
      <w:r w:rsidR="00021D5B">
        <w:t>Žvaginių</w:t>
      </w:r>
      <w:r>
        <w:t xml:space="preserve"> gatvės (pagal pridedamą priedą).</w:t>
      </w:r>
    </w:p>
    <w:p w14:paraId="0ECFA7F8" w14:textId="47BF40B2" w:rsidR="006C7F55" w:rsidRDefault="006C7F55" w:rsidP="006C7F55">
      <w:pPr>
        <w:ind w:firstLine="1134"/>
        <w:jc w:val="both"/>
      </w:pPr>
      <w:r>
        <w:t xml:space="preserve">4. </w:t>
      </w:r>
      <w:r w:rsidR="00021D5B">
        <w:t>Sendvario</w:t>
      </w:r>
      <w:r>
        <w:t xml:space="preserve"> seniūnijoje, </w:t>
      </w:r>
      <w:proofErr w:type="spellStart"/>
      <w:r w:rsidR="00021D5B">
        <w:t>Trušelių</w:t>
      </w:r>
      <w:proofErr w:type="spellEnd"/>
      <w:r>
        <w:t xml:space="preserve"> kaime esanči</w:t>
      </w:r>
      <w:r w:rsidR="009935BE">
        <w:t>os</w:t>
      </w:r>
      <w:r>
        <w:t xml:space="preserve"> </w:t>
      </w:r>
      <w:proofErr w:type="spellStart"/>
      <w:r w:rsidR="00021D5B">
        <w:t>Angelavos</w:t>
      </w:r>
      <w:proofErr w:type="spellEnd"/>
      <w:r w:rsidR="002E7C6C">
        <w:t xml:space="preserve"> gatvės</w:t>
      </w:r>
      <w:r>
        <w:t xml:space="preserve"> (pagal pridedamą priedą).</w:t>
      </w:r>
    </w:p>
    <w:p w14:paraId="2610E17C" w14:textId="359FFDD9" w:rsidR="002E7C6C" w:rsidRDefault="002E7C6C" w:rsidP="006C7F55">
      <w:pPr>
        <w:ind w:firstLine="1134"/>
        <w:jc w:val="both"/>
      </w:pPr>
      <w:r>
        <w:t xml:space="preserve">5. Vėžaičių seniūnijoje, </w:t>
      </w:r>
      <w:proofErr w:type="spellStart"/>
      <w:r w:rsidR="00021D5B">
        <w:t>Antkopčio</w:t>
      </w:r>
      <w:proofErr w:type="spellEnd"/>
      <w:r>
        <w:t xml:space="preserve"> kaime esančio</w:t>
      </w:r>
      <w:r w:rsidR="00021D5B">
        <w:t xml:space="preserve"> Žemaičių plento</w:t>
      </w:r>
      <w:r>
        <w:t xml:space="preserve"> (pagal pridedamą priedą).</w:t>
      </w:r>
    </w:p>
    <w:p w14:paraId="72E72588" w14:textId="28A34940"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659CAF83" w14:textId="2346EB84" w:rsidR="001D1A3A" w:rsidRDefault="001D1A3A" w:rsidP="001D1A3A">
      <w:pPr>
        <w:tabs>
          <w:tab w:val="left" w:pos="567"/>
        </w:tabs>
        <w:jc w:val="both"/>
      </w:pPr>
    </w:p>
    <w:p w14:paraId="72C5FADF" w14:textId="303627A3" w:rsidR="00833FCB" w:rsidRDefault="00833FCB" w:rsidP="001D1A3A">
      <w:pPr>
        <w:tabs>
          <w:tab w:val="left" w:pos="567"/>
        </w:tabs>
        <w:jc w:val="both"/>
      </w:pPr>
    </w:p>
    <w:p w14:paraId="289B5DFA" w14:textId="6B70F76A" w:rsidR="00833FCB" w:rsidRDefault="00833FCB" w:rsidP="001D1A3A">
      <w:pPr>
        <w:tabs>
          <w:tab w:val="left" w:pos="567"/>
        </w:tabs>
        <w:jc w:val="both"/>
      </w:pPr>
    </w:p>
    <w:p w14:paraId="67D0952B" w14:textId="77777777" w:rsidR="00833FCB" w:rsidRDefault="00833FCB"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3DFBE716" w:rsidR="007821BA" w:rsidRDefault="007821BA" w:rsidP="003E5F99">
            <w:pPr>
              <w:tabs>
                <w:tab w:val="right" w:pos="8730"/>
              </w:tabs>
            </w:pPr>
            <w:r w:rsidRPr="002437EF">
              <w:rPr>
                <w:caps/>
              </w:rPr>
              <w:t>teikia</w:t>
            </w:r>
            <w:r w:rsidRPr="002437EF">
              <w:rPr>
                <w:smallCaps/>
              </w:rPr>
              <w:t xml:space="preserve">: </w:t>
            </w:r>
            <w:r w:rsidR="002E7C6C">
              <w:rPr>
                <w:smallCaps/>
              </w:rPr>
              <w:t xml:space="preserve">S. </w:t>
            </w:r>
            <w:r w:rsidR="002E7C6C" w:rsidRPr="002437EF">
              <w:t>K</w:t>
            </w:r>
            <w:r w:rsidR="002E7C6C">
              <w:t>arbauskas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DAC82EF" w:rsidR="007821BA" w:rsidRDefault="007821BA" w:rsidP="003E5F99">
            <w:pPr>
              <w:tabs>
                <w:tab w:val="right" w:pos="8730"/>
              </w:tabs>
            </w:pPr>
            <w:r>
              <w:t>D. Beliokaitė</w:t>
            </w:r>
            <w:r w:rsidR="002E7C6C">
              <w:t xml:space="preserve"> </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42BCB1E3" w:rsidR="007821BA" w:rsidRDefault="007821BA" w:rsidP="003E5F99">
            <w:pPr>
              <w:tabs>
                <w:tab w:val="right" w:pos="8730"/>
              </w:tabs>
            </w:pPr>
            <w:r>
              <w:t>V</w:t>
            </w:r>
            <w:r w:rsidR="003130CF">
              <w:t xml:space="preserve">. </w:t>
            </w:r>
            <w:r w:rsidR="00021D5B">
              <w:t>Matulaitytė</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77777777" w:rsidR="007821BA" w:rsidRDefault="007821BA" w:rsidP="003E5F99">
            <w:pPr>
              <w:tabs>
                <w:tab w:val="right" w:pos="8730"/>
              </w:tabs>
            </w:pPr>
            <w:r>
              <w:t>D. 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17F7BBC4" w14:textId="77777777" w:rsidR="007821BA" w:rsidRDefault="00021D5B" w:rsidP="003E5F99">
            <w:pPr>
              <w:tabs>
                <w:tab w:val="right" w:pos="8730"/>
              </w:tabs>
            </w:pPr>
            <w:r>
              <w:t>L. Šunokienė</w:t>
            </w:r>
          </w:p>
          <w:p w14:paraId="16D81B22" w14:textId="77777777" w:rsidR="00021D5B" w:rsidRDefault="00815218" w:rsidP="003E5F99">
            <w:pPr>
              <w:tabs>
                <w:tab w:val="right" w:pos="8730"/>
              </w:tabs>
            </w:pPr>
            <w:r>
              <w:t>K. Novikova</w:t>
            </w:r>
          </w:p>
          <w:p w14:paraId="6DD92596" w14:textId="77777777" w:rsidR="00815218" w:rsidRDefault="00815218" w:rsidP="003E5F99">
            <w:pPr>
              <w:tabs>
                <w:tab w:val="right" w:pos="8730"/>
              </w:tabs>
            </w:pPr>
            <w:r>
              <w:t>A. Mockus</w:t>
            </w:r>
          </w:p>
          <w:p w14:paraId="03A1BE34" w14:textId="7C22BF29" w:rsidR="00815218" w:rsidRDefault="00815218" w:rsidP="003E5F99">
            <w:pPr>
              <w:tabs>
                <w:tab w:val="right" w:pos="8730"/>
              </w:tabs>
            </w:pPr>
            <w:r>
              <w:t>V. Butkus</w:t>
            </w:r>
          </w:p>
        </w:tc>
        <w:tc>
          <w:tcPr>
            <w:tcW w:w="4815" w:type="dxa"/>
          </w:tcPr>
          <w:p w14:paraId="6F0A7048" w14:textId="77777777" w:rsidR="007821BA" w:rsidRDefault="007821BA" w:rsidP="003E5F99">
            <w:pPr>
              <w:tabs>
                <w:tab w:val="right" w:pos="8730"/>
              </w:tabs>
            </w:pPr>
          </w:p>
        </w:tc>
      </w:tr>
      <w:tr w:rsidR="00833FCB" w14:paraId="6542386C" w14:textId="77777777" w:rsidTr="003E5F99">
        <w:tc>
          <w:tcPr>
            <w:tcW w:w="4814" w:type="dxa"/>
          </w:tcPr>
          <w:p w14:paraId="03DC999D" w14:textId="13BB0624" w:rsidR="00833FCB" w:rsidRDefault="002E7C6C" w:rsidP="003E5F99">
            <w:pPr>
              <w:tabs>
                <w:tab w:val="right" w:pos="8730"/>
              </w:tabs>
            </w:pPr>
            <w:r>
              <w:t>B. Markauskas</w:t>
            </w:r>
          </w:p>
        </w:tc>
        <w:tc>
          <w:tcPr>
            <w:tcW w:w="4815" w:type="dxa"/>
          </w:tcPr>
          <w:p w14:paraId="40FDD787" w14:textId="77777777" w:rsidR="00833FCB" w:rsidRDefault="00833FCB" w:rsidP="003E5F99">
            <w:pPr>
              <w:tabs>
                <w:tab w:val="right" w:pos="8730"/>
              </w:tabs>
            </w:pPr>
          </w:p>
        </w:tc>
      </w:tr>
      <w:tr w:rsidR="00833FCB" w14:paraId="61F7CC4E" w14:textId="77777777" w:rsidTr="003E5F99">
        <w:tc>
          <w:tcPr>
            <w:tcW w:w="4814" w:type="dxa"/>
          </w:tcPr>
          <w:p w14:paraId="0D227222" w14:textId="05958E41" w:rsidR="00833FCB" w:rsidRDefault="00833FCB" w:rsidP="003E5F99">
            <w:pPr>
              <w:tabs>
                <w:tab w:val="right" w:pos="8730"/>
              </w:tabs>
            </w:pPr>
          </w:p>
        </w:tc>
        <w:tc>
          <w:tcPr>
            <w:tcW w:w="4815" w:type="dxa"/>
          </w:tcPr>
          <w:p w14:paraId="7D813C6B" w14:textId="77777777" w:rsidR="00833FCB" w:rsidRDefault="00833FCB" w:rsidP="003E5F99">
            <w:pPr>
              <w:tabs>
                <w:tab w:val="right" w:pos="8730"/>
              </w:tabs>
            </w:pPr>
          </w:p>
        </w:tc>
      </w:tr>
      <w:tr w:rsidR="007821BA" w14:paraId="75B9FC39" w14:textId="77777777" w:rsidTr="003E5F99">
        <w:tc>
          <w:tcPr>
            <w:tcW w:w="4814" w:type="dxa"/>
          </w:tcPr>
          <w:p w14:paraId="322DC64C" w14:textId="64467BB3" w:rsidR="007821BA" w:rsidRDefault="007821BA" w:rsidP="003E5F99">
            <w:pPr>
              <w:tabs>
                <w:tab w:val="right" w:pos="8730"/>
              </w:tabs>
            </w:pPr>
          </w:p>
        </w:tc>
        <w:tc>
          <w:tcPr>
            <w:tcW w:w="4815" w:type="dxa"/>
          </w:tcPr>
          <w:p w14:paraId="211D224F" w14:textId="77777777" w:rsidR="007821BA" w:rsidRDefault="007821BA" w:rsidP="003E5F99">
            <w:pPr>
              <w:tabs>
                <w:tab w:val="right" w:pos="8730"/>
              </w:tabs>
            </w:pPr>
          </w:p>
        </w:tc>
      </w:tr>
    </w:tbl>
    <w:p w14:paraId="7E6AE389" w14:textId="712F33BD" w:rsidR="00226D68" w:rsidRDefault="00226D68" w:rsidP="002437EF">
      <w:pPr>
        <w:tabs>
          <w:tab w:val="right" w:pos="8730"/>
        </w:tabs>
      </w:pPr>
    </w:p>
    <w:p w14:paraId="7940C460" w14:textId="77777777" w:rsidR="00EB3B03" w:rsidRDefault="00EB3B03" w:rsidP="00EB3B03">
      <w:pPr>
        <w:pStyle w:val="Antrat1"/>
        <w:jc w:val="center"/>
        <w:rPr>
          <w:b/>
        </w:rPr>
      </w:pPr>
      <w:r>
        <w:rPr>
          <w:b/>
        </w:rPr>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19DD3980" w:rsidR="00EB3B03" w:rsidRDefault="00EB3B03" w:rsidP="00EB3B03">
      <w:pPr>
        <w:jc w:val="center"/>
        <w:rPr>
          <w:color w:val="FF0000"/>
        </w:rPr>
      </w:pPr>
      <w:r>
        <w:t>20</w:t>
      </w:r>
      <w:r w:rsidR="008F4DD5">
        <w:t>2</w:t>
      </w:r>
      <w:r w:rsidR="003130CF">
        <w:t>2</w:t>
      </w:r>
      <w:r w:rsidR="00506C39">
        <w:t>-</w:t>
      </w:r>
      <w:r w:rsidR="005902D3">
        <w:t>0</w:t>
      </w:r>
      <w:r w:rsidR="00815218">
        <w:t>8</w:t>
      </w:r>
      <w:r w:rsidR="003130CF">
        <w:t>-</w:t>
      </w:r>
      <w:r w:rsidR="00815218">
        <w:t>11</w:t>
      </w:r>
    </w:p>
    <w:p w14:paraId="73B4A372" w14:textId="77777777" w:rsidR="00EB3B03" w:rsidRDefault="00EB3B03" w:rsidP="00EB3B03">
      <w:pPr>
        <w:jc w:val="both"/>
      </w:pPr>
    </w:p>
    <w:p w14:paraId="3AB7C50C" w14:textId="428258AA" w:rsidR="00EB3B03" w:rsidRPr="00E77F91" w:rsidRDefault="00F32F25" w:rsidP="00EB3B03">
      <w:pPr>
        <w:jc w:val="both"/>
        <w:rPr>
          <w:b/>
        </w:rPr>
      </w:pPr>
      <w:r>
        <w:rPr>
          <w:b/>
        </w:rPr>
        <w:t xml:space="preserve">DĖL TARYBOS SPRENDIMO „Dėl </w:t>
      </w:r>
      <w:r w:rsidR="00373CDE">
        <w:rPr>
          <w:b/>
        </w:rPr>
        <w:t>gatv</w:t>
      </w:r>
      <w:r w:rsidR="00FC0C50">
        <w:rPr>
          <w:b/>
        </w:rPr>
        <w:t>ių</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520F9978" w:rsidR="00EB3B03" w:rsidRPr="003E0450" w:rsidRDefault="00226D68" w:rsidP="00EB3B03">
      <w:pPr>
        <w:ind w:firstLine="720"/>
        <w:jc w:val="both"/>
      </w:pPr>
      <w:r>
        <w:t>Pakeisti gatv</w:t>
      </w:r>
      <w:r w:rsidR="00FC0C50">
        <w:t>ių</w:t>
      </w:r>
      <w:r>
        <w:t xml:space="preserve"> geografines charakteristikas</w:t>
      </w:r>
      <w:r w:rsidR="00EB3B03" w:rsidRPr="003E0450">
        <w:t xml:space="preserve"> </w:t>
      </w:r>
      <w:proofErr w:type="spellStart"/>
      <w:r w:rsidR="00815218">
        <w:t>Laigių</w:t>
      </w:r>
      <w:proofErr w:type="spellEnd"/>
      <w:r w:rsidR="00815218">
        <w:t xml:space="preserve">, Ližių, Žadeikių, </w:t>
      </w:r>
      <w:proofErr w:type="spellStart"/>
      <w:r w:rsidR="00815218">
        <w:t>Trušelių</w:t>
      </w:r>
      <w:proofErr w:type="spellEnd"/>
      <w:r w:rsidR="00815218">
        <w:t xml:space="preserve">, </w:t>
      </w:r>
      <w:proofErr w:type="spellStart"/>
      <w:r w:rsidR="00815218">
        <w:t>Antkopčio</w:t>
      </w:r>
      <w:proofErr w:type="spellEnd"/>
      <w:r w:rsidR="00815218">
        <w:t xml:space="preserve"> kaimuose</w:t>
      </w:r>
      <w:r w:rsidR="00036C21">
        <w:t>, Klaipėdos</w:t>
      </w:r>
      <w:r w:rsidR="00EB3B03" w:rsidRPr="003E0450">
        <w:t xml:space="preserve"> rajone.</w:t>
      </w:r>
      <w:r w:rsidR="00FC0C50">
        <w:t xml:space="preserve"> </w:t>
      </w:r>
      <w:r w:rsidR="00036C21">
        <w:t>Šiuose</w:t>
      </w:r>
      <w:r w:rsidR="00FC0C50">
        <w:t xml:space="preserve"> kaimuose gatvių geografinės charakteristikos koreguojamos, nes</w:t>
      </w:r>
      <w:r w:rsidR="00A637A6">
        <w:t xml:space="preserve"> neatitinka su registruotomis kaimų ribomis</w:t>
      </w:r>
      <w:r w:rsidR="00815218">
        <w:t xml:space="preserve"> arba patenka į sklypų ribas, o ne į kelio teritoriją</w:t>
      </w:r>
      <w:r w:rsidR="00A637A6">
        <w:t>.</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F7C83" w14:textId="77777777" w:rsidR="004C23AB" w:rsidRDefault="004C23AB">
      <w:r>
        <w:separator/>
      </w:r>
    </w:p>
  </w:endnote>
  <w:endnote w:type="continuationSeparator" w:id="0">
    <w:p w14:paraId="525F5579" w14:textId="77777777" w:rsidR="004C23AB" w:rsidRDefault="004C2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55CA" w14:textId="77777777" w:rsidR="004C23AB" w:rsidRDefault="004C23AB">
      <w:r>
        <w:separator/>
      </w:r>
    </w:p>
  </w:footnote>
  <w:footnote w:type="continuationSeparator" w:id="0">
    <w:p w14:paraId="09E1F4A4" w14:textId="77777777" w:rsidR="004C23AB" w:rsidRDefault="004C2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67705101">
    <w:abstractNumId w:val="2"/>
  </w:num>
  <w:num w:numId="2" w16cid:durableId="668757944">
    <w:abstractNumId w:val="0"/>
  </w:num>
  <w:num w:numId="3" w16cid:durableId="383680182">
    <w:abstractNumId w:val="3"/>
  </w:num>
  <w:num w:numId="4" w16cid:durableId="29617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1D5B"/>
    <w:rsid w:val="00025FE0"/>
    <w:rsid w:val="00030689"/>
    <w:rsid w:val="000326AE"/>
    <w:rsid w:val="00036343"/>
    <w:rsid w:val="00036C21"/>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2C8"/>
    <w:rsid w:val="00145CFA"/>
    <w:rsid w:val="0014715F"/>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E7C6C"/>
    <w:rsid w:val="002F472B"/>
    <w:rsid w:val="002F4C3C"/>
    <w:rsid w:val="002F5F21"/>
    <w:rsid w:val="00300FE1"/>
    <w:rsid w:val="00304A30"/>
    <w:rsid w:val="00307B70"/>
    <w:rsid w:val="003130CF"/>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23AB"/>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C7F55"/>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15218"/>
    <w:rsid w:val="00823A5C"/>
    <w:rsid w:val="00830890"/>
    <w:rsid w:val="00830B4E"/>
    <w:rsid w:val="00833152"/>
    <w:rsid w:val="00833FCB"/>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35BE"/>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0A8C"/>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37A6"/>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0297"/>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CF745A"/>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2B12"/>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C0C5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22179417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3</TotalTime>
  <Pages>2</Pages>
  <Words>2363</Words>
  <Characters>1348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2022-08-11T06:23:00Z</dcterms:created>
  <dcterms:modified xsi:type="dcterms:W3CDTF">2022-08-11T06:23:00Z</dcterms:modified>
</cp:coreProperties>
</file>