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DF7E6"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 TVARKOS APRAŠAS</w:t>
      </w:r>
    </w:p>
    <w:p w14:paraId="34CBFB3C"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b/>
          <w:color w:val="000000"/>
          <w:sz w:val="24"/>
          <w:szCs w:val="24"/>
        </w:rPr>
        <w:t> </w:t>
      </w:r>
    </w:p>
    <w:p w14:paraId="10720DFB"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0" w:name="bookmark=id.gjdgxs" w:colFirst="0" w:colLast="0"/>
      <w:bookmarkEnd w:id="0"/>
      <w:r w:rsidRPr="00ED5F75">
        <w:rPr>
          <w:rFonts w:ascii="Arial" w:eastAsia="Times New Roman" w:hAnsi="Arial" w:cs="Arial"/>
          <w:color w:val="000000"/>
          <w:sz w:val="24"/>
          <w:szCs w:val="24"/>
        </w:rPr>
        <w:t>1. Poveikio konkurencijai ir atitikties valstybės pagalbos reikalavimams vertinimo tvarkos apraše (toliau – Aprašas) reglamentuojama valstybės ir savivaldybių turto (toliau – turtas) perdavimo panaudos pagrindais laikinai neatlygintinai valdyti ir naudotis poveikio konkurencijai ir atitikties valstybės pagalbos reikalavimams vertinimo (toliau – poveikio ir atitikties vertinimas) tvarka.</w:t>
      </w:r>
    </w:p>
    <w:p w14:paraId="028F2038"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1" w:name="bookmark=id.30j0zll" w:colFirst="0" w:colLast="0"/>
      <w:bookmarkEnd w:id="1"/>
      <w:r w:rsidRPr="00ED5F75">
        <w:rPr>
          <w:rFonts w:ascii="Arial" w:eastAsia="Times New Roman" w:hAnsi="Arial" w:cs="Arial"/>
          <w:color w:val="000000"/>
          <w:sz w:val="24"/>
          <w:szCs w:val="24"/>
        </w:rPr>
        <w:t>2. Poveikio ir atitikties vertinimas atliekamas kiekvieną kartą, kai turtą panaudos pagrindais ketinama perduoti Lietuvos Respublikos valstybės ir savivaldybių turto valdymo, naudojimo ir disponavimo juo įstatymo 14 straipsnio 1 dalies 2–5 punktuose nurodytiems panaudos subjektams.</w:t>
      </w:r>
    </w:p>
    <w:p w14:paraId="47D3A324"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2" w:name="bookmark=id.1fob9te" w:colFirst="0" w:colLast="0"/>
      <w:bookmarkEnd w:id="2"/>
      <w:r w:rsidRPr="00ED5F75">
        <w:rPr>
          <w:rFonts w:ascii="Arial" w:eastAsia="Times New Roman" w:hAnsi="Arial" w:cs="Arial"/>
          <w:color w:val="000000"/>
          <w:sz w:val="24"/>
          <w:szCs w:val="24"/>
        </w:rPr>
        <w:t>3. Poveikiui ir atitikčiai vertinti naudojamas poveikio konkurencijai ir atitikties valstybės pagalbos reikalavimams vertinimo klausimynas (toliau – klausimynas), kurio forma nustatyta Aprašo priede.</w:t>
      </w:r>
    </w:p>
    <w:p w14:paraId="1D2668A9"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3" w:name="bookmark=id.3znysh7" w:colFirst="0" w:colLast="0"/>
      <w:bookmarkEnd w:id="3"/>
      <w:r w:rsidRPr="00ED5F75">
        <w:rPr>
          <w:rFonts w:ascii="Arial" w:eastAsia="Times New Roman" w:hAnsi="Arial" w:cs="Arial"/>
          <w:color w:val="000000"/>
          <w:sz w:val="24"/>
          <w:szCs w:val="24"/>
        </w:rPr>
        <w:t>4. Klausimyno II dalies pildyti nereikia, jeigu:</w:t>
      </w:r>
    </w:p>
    <w:p w14:paraId="6589D7EF"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4" w:name="bookmark=id.2et92p0" w:colFirst="0" w:colLast="0"/>
      <w:bookmarkEnd w:id="4"/>
      <w:r w:rsidRPr="00ED5F75">
        <w:rPr>
          <w:rFonts w:ascii="Arial" w:eastAsia="Times New Roman" w:hAnsi="Arial" w:cs="Arial"/>
          <w:color w:val="000000"/>
          <w:sz w:val="24"/>
          <w:szCs w:val="24"/>
        </w:rPr>
        <w:t>4.1. į klausimyno I dalies 1 ir 2 klausimus atsakyta „Ne“ arba</w:t>
      </w:r>
    </w:p>
    <w:p w14:paraId="742DE308"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5" w:name="bookmark=id.tyjcwt" w:colFirst="0" w:colLast="0"/>
      <w:bookmarkEnd w:id="5"/>
      <w:r w:rsidRPr="00ED5F75">
        <w:rPr>
          <w:rFonts w:ascii="Arial" w:eastAsia="Times New Roman" w:hAnsi="Arial" w:cs="Arial"/>
          <w:color w:val="000000"/>
          <w:sz w:val="24"/>
          <w:szCs w:val="24"/>
        </w:rPr>
        <w:t>4.2. į klausimyno I dalies 1 ir (arba) 2 klausimus atsakyta „Taip“, tačiau į 3 klausimą atsakyta „Ne“.</w:t>
      </w:r>
    </w:p>
    <w:p w14:paraId="1F6BA9BC"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6" w:name="bookmark=id.3dy6vkm" w:colFirst="0" w:colLast="0"/>
      <w:bookmarkEnd w:id="6"/>
      <w:r w:rsidRPr="00ED5F75">
        <w:rPr>
          <w:rFonts w:ascii="Arial" w:eastAsia="Times New Roman" w:hAnsi="Arial" w:cs="Arial"/>
          <w:color w:val="000000"/>
          <w:sz w:val="24"/>
          <w:szCs w:val="24"/>
        </w:rPr>
        <w:t>5. Su Lietuvos Respublikos konkurencijos taryba privalo būti derinamas užpildytas klausimynas (pildomos klausimyno I ir II dalys) ir parengtas sprendimo dėl turto perdavimo panaudos pagrindais projektas, jeigu į klausimyno I dalies 1 ir (arba) 2 klausimus, taip pat 3 klausimą atsakyta „Taip“.</w:t>
      </w:r>
    </w:p>
    <w:p w14:paraId="005B66A5"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7" w:name="bookmark=id.1t3h5sf" w:colFirst="0" w:colLast="0"/>
      <w:bookmarkEnd w:id="7"/>
      <w:r w:rsidRPr="00ED5F75">
        <w:rPr>
          <w:rFonts w:ascii="Arial" w:eastAsia="Times New Roman" w:hAnsi="Arial" w:cs="Arial"/>
          <w:color w:val="000000"/>
          <w:sz w:val="24"/>
          <w:szCs w:val="24"/>
        </w:rPr>
        <w:t>6. Klausimyną pildo ir pasirašo subjektas, kuriam teisės aktuose, reglamentuojančiuose valstybės ar savivaldybių turto perdavimą panaudos pagrindais, nustatyta teisė arba įgaliojimai rengti sprendimų dėl turto perdavimo panaudos pagrindais projektus (toliau – subjektas).</w:t>
      </w:r>
    </w:p>
    <w:p w14:paraId="4D7D7725"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8" w:name="bookmark=id.4d34og8" w:colFirst="0" w:colLast="0"/>
      <w:bookmarkEnd w:id="8"/>
      <w:r w:rsidRPr="00ED5F75">
        <w:rPr>
          <w:rFonts w:ascii="Arial" w:eastAsia="Times New Roman" w:hAnsi="Arial" w:cs="Arial"/>
          <w:color w:val="000000"/>
          <w:sz w:val="24"/>
          <w:szCs w:val="24"/>
        </w:rPr>
        <w:t>7. Konkurencijos taryba, gavusi užpildytą klausimyną ir sprendimo dėl turto perdavimo panaudos pagrindais projektą, pateikia išvadą ne vėliau kaip per 15 darbo dienų nuo jų gavimo dienos.</w:t>
      </w:r>
    </w:p>
    <w:p w14:paraId="6150B0EA"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9" w:name="bookmark=id.2s8eyo1" w:colFirst="0" w:colLast="0"/>
      <w:bookmarkEnd w:id="9"/>
      <w:r w:rsidRPr="00ED5F75">
        <w:rPr>
          <w:rFonts w:ascii="Arial" w:eastAsia="Times New Roman" w:hAnsi="Arial" w:cs="Arial"/>
          <w:color w:val="000000"/>
          <w:sz w:val="24"/>
          <w:szCs w:val="24"/>
        </w:rPr>
        <w:t>8. Tais atvejais, kai Konkurencijos taryba motyvuotai nepritaria subjekto pateiktam sprendimo dėl turto perdavimo panaudos pagrindais projektui, tačiau subjektas su tuo nesutinka, galutinį sprendimą dėl turto perdavimo panaudos pagrindais priima subjektai, kuriems teisės aktuose, reglamentuojančiuose valstybės ar savivaldybių turto perdavimą panaudos pagrindais, nustatyta teisė arba įgaliojimai priimti sprendimus dėl turto perdavimo panaudos pagrindais.</w:t>
      </w:r>
    </w:p>
    <w:p w14:paraId="6F9FED80" w14:textId="77777777" w:rsidR="001D5C62" w:rsidRPr="00ED5F75" w:rsidRDefault="001B7727" w:rsidP="00ED5F75">
      <w:pPr>
        <w:spacing w:after="0" w:line="276" w:lineRule="auto"/>
        <w:ind w:firstLine="720"/>
        <w:jc w:val="both"/>
        <w:rPr>
          <w:rFonts w:ascii="Arial" w:eastAsia="Times New Roman" w:hAnsi="Arial" w:cs="Arial"/>
          <w:color w:val="000000"/>
          <w:sz w:val="24"/>
          <w:szCs w:val="24"/>
        </w:rPr>
      </w:pPr>
      <w:bookmarkStart w:id="10" w:name="bookmark=id.17dp8vu" w:colFirst="0" w:colLast="0"/>
      <w:bookmarkEnd w:id="10"/>
      <w:r w:rsidRPr="00ED5F75">
        <w:rPr>
          <w:rFonts w:ascii="Arial" w:eastAsia="Times New Roman" w:hAnsi="Arial" w:cs="Arial"/>
          <w:color w:val="000000"/>
          <w:sz w:val="24"/>
          <w:szCs w:val="24"/>
        </w:rPr>
        <w:t>9. Užpildytas klausimynas, o Aprašo 5 punkte nustatytu atveju ir Konkurencijos tarybos išvada teikiami sprendimus dėl turto perdavimo panaudos pagrindais priimantiems subjektams kartu su sprendimų dėl turto perdavimo panaudos pagrindais projektais.</w:t>
      </w:r>
    </w:p>
    <w:p w14:paraId="6567484D" w14:textId="77777777" w:rsidR="001D5C62" w:rsidRPr="00ED5F75" w:rsidRDefault="001B7727" w:rsidP="00ED5F75">
      <w:pPr>
        <w:spacing w:after="0" w:line="276" w:lineRule="auto"/>
        <w:jc w:val="center"/>
        <w:rPr>
          <w:rFonts w:ascii="Arial" w:eastAsia="Times New Roman" w:hAnsi="Arial" w:cs="Arial"/>
          <w:color w:val="000000"/>
          <w:sz w:val="24"/>
          <w:szCs w:val="24"/>
        </w:rPr>
      </w:pPr>
      <w:bookmarkStart w:id="11" w:name="bookmark=id.3rdcrjn" w:colFirst="0" w:colLast="0"/>
      <w:bookmarkEnd w:id="11"/>
      <w:r w:rsidRPr="00ED5F75">
        <w:rPr>
          <w:rFonts w:ascii="Arial" w:eastAsia="Times New Roman" w:hAnsi="Arial" w:cs="Arial"/>
          <w:color w:val="000000"/>
          <w:sz w:val="24"/>
          <w:szCs w:val="24"/>
        </w:rPr>
        <w:t>_______________</w:t>
      </w:r>
    </w:p>
    <w:p w14:paraId="44ED6593" w14:textId="7CC6CF94" w:rsidR="00FD510E" w:rsidRPr="00ED5F75" w:rsidRDefault="00FD510E" w:rsidP="00ED5F75">
      <w:pPr>
        <w:spacing w:after="0" w:line="276" w:lineRule="auto"/>
        <w:ind w:left="5182"/>
        <w:jc w:val="both"/>
        <w:rPr>
          <w:rFonts w:ascii="Arial" w:eastAsia="Times New Roman" w:hAnsi="Arial" w:cs="Arial"/>
          <w:color w:val="000000"/>
          <w:sz w:val="24"/>
          <w:szCs w:val="24"/>
        </w:rPr>
      </w:pPr>
      <w:bookmarkStart w:id="12" w:name="bookmark=id.26in1rg" w:colFirst="0" w:colLast="0"/>
      <w:bookmarkEnd w:id="12"/>
    </w:p>
    <w:p w14:paraId="2B16812B" w14:textId="77777777" w:rsidR="00C847D7" w:rsidRPr="00ED5F75" w:rsidRDefault="00C847D7" w:rsidP="00ED5F75">
      <w:pPr>
        <w:spacing w:after="0" w:line="276" w:lineRule="auto"/>
        <w:ind w:left="5182"/>
        <w:jc w:val="both"/>
        <w:rPr>
          <w:rFonts w:ascii="Arial" w:eastAsia="Times New Roman" w:hAnsi="Arial" w:cs="Arial"/>
          <w:color w:val="000000"/>
          <w:sz w:val="24"/>
          <w:szCs w:val="24"/>
        </w:rPr>
      </w:pPr>
    </w:p>
    <w:p w14:paraId="19662431" w14:textId="77777777" w:rsidR="001D5C62" w:rsidRPr="00ED5F75" w:rsidRDefault="001B7727" w:rsidP="00ED5F75">
      <w:pPr>
        <w:spacing w:after="0" w:line="276" w:lineRule="auto"/>
        <w:ind w:left="5182"/>
        <w:jc w:val="both"/>
        <w:rPr>
          <w:rFonts w:ascii="Arial" w:eastAsia="Times New Roman" w:hAnsi="Arial" w:cs="Arial"/>
          <w:color w:val="000000"/>
          <w:sz w:val="24"/>
          <w:szCs w:val="24"/>
        </w:rPr>
      </w:pPr>
      <w:r w:rsidRPr="00ED5F75">
        <w:rPr>
          <w:rFonts w:ascii="Arial" w:eastAsia="Times New Roman" w:hAnsi="Arial" w:cs="Arial"/>
          <w:color w:val="000000"/>
          <w:sz w:val="24"/>
          <w:szCs w:val="24"/>
        </w:rPr>
        <w:lastRenderedPageBreak/>
        <w:t>Poveikio konkurencijai ir atitikties valstybės pagalbos reikalavimams vertinimo tvarkos aprašo priedas</w:t>
      </w:r>
    </w:p>
    <w:p w14:paraId="7E872FE8"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2345DBC2" w14:textId="77777777" w:rsidR="001D5C62" w:rsidRPr="00ED5F75" w:rsidRDefault="001D5C62" w:rsidP="00ED5F75">
      <w:pPr>
        <w:spacing w:after="0" w:line="276" w:lineRule="auto"/>
        <w:rPr>
          <w:rFonts w:ascii="Arial" w:eastAsia="Times New Roman" w:hAnsi="Arial" w:cs="Arial"/>
          <w:sz w:val="24"/>
          <w:szCs w:val="24"/>
        </w:rPr>
      </w:pPr>
    </w:p>
    <w:p w14:paraId="4A0C5A59" w14:textId="77777777" w:rsidR="001D5C62" w:rsidRPr="00ED5F75" w:rsidRDefault="001D5C62" w:rsidP="00ED5F75">
      <w:pPr>
        <w:spacing w:after="0" w:line="276" w:lineRule="auto"/>
        <w:rPr>
          <w:rFonts w:ascii="Arial" w:eastAsia="Times New Roman" w:hAnsi="Arial" w:cs="Arial"/>
          <w:sz w:val="24"/>
          <w:szCs w:val="24"/>
        </w:rPr>
      </w:pPr>
    </w:p>
    <w:p w14:paraId="56F2DD00"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3E152C95"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76067B99"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CC3185" w:rsidRPr="00ED5F75">
        <w:rPr>
          <w:rFonts w:ascii="Arial" w:eastAsia="Times New Roman" w:hAnsi="Arial" w:cs="Arial"/>
          <w:color w:val="000000"/>
          <w:sz w:val="24"/>
          <w:szCs w:val="24"/>
        </w:rPr>
        <w:t>4</w:t>
      </w:r>
      <w:r w:rsidRPr="00ED5F75">
        <w:rPr>
          <w:rFonts w:ascii="Arial" w:eastAsia="Times New Roman" w:hAnsi="Arial" w:cs="Arial"/>
          <w:color w:val="000000"/>
          <w:sz w:val="24"/>
          <w:szCs w:val="24"/>
        </w:rPr>
        <w:t>-0</w:t>
      </w:r>
      <w:r w:rsidR="00E33D87">
        <w:rPr>
          <w:rFonts w:ascii="Arial" w:eastAsia="Times New Roman" w:hAnsi="Arial" w:cs="Arial"/>
          <w:color w:val="000000"/>
          <w:sz w:val="24"/>
          <w:szCs w:val="24"/>
        </w:rPr>
        <w:t>6</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11</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Nr.____________</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566EB352"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5F7995A"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Klaipėdos rajono savivaldybė</w:t>
            </w:r>
            <w:r w:rsidR="001C032A" w:rsidRPr="00ED5F75">
              <w:rPr>
                <w:rFonts w:ascii="Arial" w:eastAsia="Times New Roman" w:hAnsi="Arial" w:cs="Arial"/>
                <w:sz w:val="24"/>
                <w:szCs w:val="24"/>
              </w:rPr>
              <w:t>s</w:t>
            </w:r>
            <w:r w:rsidRPr="00ED5F75">
              <w:rPr>
                <w:rFonts w:ascii="Arial" w:eastAsia="Times New Roman" w:hAnsi="Arial" w:cs="Arial"/>
                <w:sz w:val="24"/>
                <w:szCs w:val="24"/>
              </w:rPr>
              <w:t>, kodas 1</w:t>
            </w:r>
            <w:r w:rsidR="00990385">
              <w:rPr>
                <w:rFonts w:ascii="Arial" w:eastAsia="Times New Roman" w:hAnsi="Arial" w:cs="Arial"/>
                <w:sz w:val="24"/>
                <w:szCs w:val="24"/>
              </w:rPr>
              <w:t>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BFF0D2D" w14:textId="31AE6D92" w:rsidR="000758AC" w:rsidRPr="000758AC" w:rsidRDefault="000758AC" w:rsidP="000758AC">
            <w:pPr>
              <w:tabs>
                <w:tab w:val="left" w:pos="993"/>
              </w:tabs>
              <w:spacing w:after="0" w:line="276" w:lineRule="auto"/>
              <w:jc w:val="both"/>
              <w:rPr>
                <w:rFonts w:ascii="Arial" w:hAnsi="Arial" w:cs="Arial"/>
                <w:sz w:val="24"/>
                <w:szCs w:val="24"/>
              </w:rPr>
            </w:pPr>
            <w:bookmarkStart w:id="13" w:name="_Hlk78457574"/>
            <w:r w:rsidRPr="000758AC">
              <w:rPr>
                <w:rFonts w:ascii="Arial" w:hAnsi="Arial" w:cs="Arial"/>
                <w:color w:val="000000"/>
                <w:sz w:val="24"/>
                <w:szCs w:val="24"/>
              </w:rPr>
              <w:t xml:space="preserve"> 200,46 kv. m ploto Pastat</w:t>
            </w:r>
            <w:r>
              <w:rPr>
                <w:rFonts w:ascii="Arial" w:hAnsi="Arial" w:cs="Arial"/>
                <w:color w:val="000000"/>
                <w:sz w:val="24"/>
                <w:szCs w:val="24"/>
              </w:rPr>
              <w:t>as</w:t>
            </w:r>
            <w:r w:rsidRPr="000758AC">
              <w:rPr>
                <w:rFonts w:ascii="Arial" w:hAnsi="Arial" w:cs="Arial"/>
                <w:color w:val="000000"/>
                <w:sz w:val="24"/>
                <w:szCs w:val="24"/>
              </w:rPr>
              <w:t xml:space="preserve"> – Buitin</w:t>
            </w:r>
            <w:r>
              <w:rPr>
                <w:rFonts w:ascii="Arial" w:hAnsi="Arial" w:cs="Arial"/>
                <w:color w:val="000000"/>
                <w:sz w:val="24"/>
                <w:szCs w:val="24"/>
              </w:rPr>
              <w:t>is</w:t>
            </w:r>
            <w:r w:rsidRPr="000758AC">
              <w:rPr>
                <w:rFonts w:ascii="Arial" w:hAnsi="Arial" w:cs="Arial"/>
                <w:color w:val="000000"/>
                <w:sz w:val="24"/>
                <w:szCs w:val="24"/>
              </w:rPr>
              <w:t xml:space="preserve"> pastat</w:t>
            </w:r>
            <w:r>
              <w:rPr>
                <w:rFonts w:ascii="Arial" w:hAnsi="Arial" w:cs="Arial"/>
                <w:color w:val="000000"/>
                <w:sz w:val="24"/>
                <w:szCs w:val="24"/>
              </w:rPr>
              <w:t>as</w:t>
            </w:r>
            <w:r w:rsidRPr="000758AC">
              <w:rPr>
                <w:rFonts w:ascii="Arial" w:hAnsi="Arial" w:cs="Arial"/>
                <w:color w:val="000000"/>
                <w:sz w:val="24"/>
                <w:szCs w:val="24"/>
              </w:rPr>
              <w:t xml:space="preserve">, negyvenamosios paskirties, žymėjimas plane 6H2p, unikalus Nr. 5590-0000-9025, </w:t>
            </w:r>
            <w:r w:rsidR="00364027">
              <w:rPr>
                <w:rFonts w:ascii="Arial" w:hAnsi="Arial" w:cs="Arial"/>
                <w:color w:val="000000"/>
                <w:sz w:val="24"/>
                <w:szCs w:val="24"/>
              </w:rPr>
              <w:t xml:space="preserve">Pastatas </w:t>
            </w:r>
            <w:r w:rsidR="00364027" w:rsidRPr="0034019C">
              <w:rPr>
                <w:rFonts w:ascii="Arial" w:hAnsi="Arial" w:cs="Arial"/>
                <w:color w:val="000000"/>
                <w:sz w:val="24"/>
                <w:szCs w:val="24"/>
              </w:rPr>
              <w:t>–</w:t>
            </w:r>
            <w:r w:rsidR="00364027">
              <w:rPr>
                <w:rFonts w:ascii="Arial" w:hAnsi="Arial" w:cs="Arial"/>
                <w:color w:val="000000"/>
                <w:sz w:val="24"/>
                <w:szCs w:val="24"/>
              </w:rPr>
              <w:t xml:space="preserve"> Sandėlis, užstatytas plotas 105,00 kv. m žymėjimas plane 5l1p, pagalbinio ūkio paskirties, unikalus Nr. 5590-0000-9069, </w:t>
            </w:r>
            <w:r w:rsidRPr="000758AC">
              <w:rPr>
                <w:rFonts w:ascii="Arial" w:hAnsi="Arial" w:cs="Arial"/>
                <w:color w:val="000000"/>
                <w:sz w:val="24"/>
                <w:szCs w:val="24"/>
              </w:rPr>
              <w:t>Kit</w:t>
            </w:r>
            <w:r>
              <w:rPr>
                <w:rFonts w:ascii="Arial" w:hAnsi="Arial" w:cs="Arial"/>
                <w:color w:val="000000"/>
                <w:sz w:val="24"/>
                <w:szCs w:val="24"/>
              </w:rPr>
              <w:t>i</w:t>
            </w:r>
            <w:r w:rsidRPr="000758AC">
              <w:rPr>
                <w:rFonts w:ascii="Arial" w:hAnsi="Arial" w:cs="Arial"/>
                <w:color w:val="000000"/>
                <w:sz w:val="24"/>
                <w:szCs w:val="24"/>
              </w:rPr>
              <w:t xml:space="preserve"> inžinerini</w:t>
            </w:r>
            <w:r>
              <w:rPr>
                <w:rFonts w:ascii="Arial" w:hAnsi="Arial" w:cs="Arial"/>
                <w:color w:val="000000"/>
                <w:sz w:val="24"/>
                <w:szCs w:val="24"/>
              </w:rPr>
              <w:t>ai</w:t>
            </w:r>
            <w:r w:rsidRPr="000758AC">
              <w:rPr>
                <w:rFonts w:ascii="Arial" w:hAnsi="Arial" w:cs="Arial"/>
                <w:color w:val="000000"/>
                <w:sz w:val="24"/>
                <w:szCs w:val="24"/>
              </w:rPr>
              <w:t xml:space="preserve"> statini</w:t>
            </w:r>
            <w:r>
              <w:rPr>
                <w:rFonts w:ascii="Arial" w:hAnsi="Arial" w:cs="Arial"/>
                <w:color w:val="000000"/>
                <w:sz w:val="24"/>
                <w:szCs w:val="24"/>
              </w:rPr>
              <w:t>ai</w:t>
            </w:r>
            <w:r w:rsidRPr="000758AC">
              <w:rPr>
                <w:rFonts w:ascii="Arial" w:hAnsi="Arial" w:cs="Arial"/>
                <w:color w:val="000000"/>
                <w:sz w:val="24"/>
                <w:szCs w:val="24"/>
              </w:rPr>
              <w:t xml:space="preserve"> – Lauko tualet</w:t>
            </w:r>
            <w:r>
              <w:rPr>
                <w:rFonts w:ascii="Arial" w:hAnsi="Arial" w:cs="Arial"/>
                <w:color w:val="000000"/>
                <w:sz w:val="24"/>
                <w:szCs w:val="24"/>
              </w:rPr>
              <w:t>as</w:t>
            </w:r>
            <w:r w:rsidRPr="000758AC">
              <w:rPr>
                <w:rFonts w:ascii="Arial" w:hAnsi="Arial" w:cs="Arial"/>
                <w:color w:val="000000"/>
                <w:sz w:val="24"/>
                <w:szCs w:val="24"/>
              </w:rPr>
              <w:t>, žymėjimas plane K6, unikalus Nr. 5590-0000-9114, esan</w:t>
            </w:r>
            <w:r>
              <w:rPr>
                <w:rFonts w:ascii="Arial" w:hAnsi="Arial" w:cs="Arial"/>
                <w:color w:val="000000"/>
                <w:sz w:val="24"/>
                <w:szCs w:val="24"/>
              </w:rPr>
              <w:t>tys</w:t>
            </w:r>
            <w:r w:rsidRPr="000758AC">
              <w:rPr>
                <w:rFonts w:ascii="Arial" w:hAnsi="Arial" w:cs="Arial"/>
                <w:color w:val="000000"/>
                <w:sz w:val="24"/>
                <w:szCs w:val="24"/>
              </w:rPr>
              <w:t xml:space="preserve"> adresu Klaipėdos g. 6, Priekulė, Klaipėdos r. sav. </w:t>
            </w:r>
          </w:p>
          <w:bookmarkEnd w:id="13"/>
          <w:p w14:paraId="6651D7FE" w14:textId="30698AD0" w:rsidR="001D5C62" w:rsidRPr="00ED5F75" w:rsidRDefault="001D5C62" w:rsidP="00ED5F75">
            <w:pPr>
              <w:tabs>
                <w:tab w:val="left" w:pos="709"/>
                <w:tab w:val="right" w:pos="9639"/>
              </w:tabs>
              <w:spacing w:line="276" w:lineRule="auto"/>
              <w:jc w:val="both"/>
              <w:rPr>
                <w:rFonts w:ascii="Arial" w:hAnsi="Arial" w:cs="Arial"/>
                <w:color w:val="000000"/>
              </w:rPr>
            </w:pP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49CA9564" w:rsidR="001D5C62" w:rsidRPr="00ED5F75" w:rsidRDefault="00E33D87" w:rsidP="00ED5F75">
            <w:pPr>
              <w:spacing w:after="0" w:line="276" w:lineRule="auto"/>
              <w:jc w:val="both"/>
              <w:rPr>
                <w:rFonts w:ascii="Arial" w:eastAsia="Times New Roman" w:hAnsi="Arial" w:cs="Arial"/>
                <w:sz w:val="24"/>
                <w:szCs w:val="24"/>
              </w:rPr>
            </w:pPr>
            <w:r>
              <w:rPr>
                <w:rFonts w:ascii="Arial" w:hAnsi="Arial" w:cs="Arial"/>
                <w:sz w:val="24"/>
                <w:szCs w:val="24"/>
              </w:rPr>
              <w:t>Asociacija Mažosios Lietuvos sportinio šaudymo asociacija</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B9D33F1" w:rsidR="001D5C62" w:rsidRPr="00ED5F75" w:rsidRDefault="00E33D87" w:rsidP="00ED5F75">
            <w:pPr>
              <w:spacing w:after="0" w:line="276" w:lineRule="auto"/>
              <w:jc w:val="both"/>
              <w:rPr>
                <w:rFonts w:ascii="Arial" w:eastAsia="Times New Roman" w:hAnsi="Arial" w:cs="Arial"/>
                <w:sz w:val="24"/>
                <w:szCs w:val="24"/>
              </w:rPr>
            </w:pPr>
            <w:r w:rsidRPr="0034019C">
              <w:rPr>
                <w:rFonts w:ascii="Arial" w:hAnsi="Arial" w:cs="Arial"/>
                <w:sz w:val="24"/>
                <w:szCs w:val="24"/>
              </w:rPr>
              <w:t>gyvenamosios vietovės bendruomenės viešųjų poreikių tenkinimui</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 xml:space="preserve">(privatūs subjektai – fiziniai asmenys, bet kokios teisinės formos privatūs ir viešieji juridiniai asmenys (išskyrus viešuosius juridinius asmenis, kurie laikomi viešojo sektoriaus subjektu pagal Lietuvos </w:t>
            </w:r>
            <w:r w:rsidRPr="00ED5F75">
              <w:rPr>
                <w:rFonts w:ascii="Arial" w:eastAsia="Times New Roman" w:hAnsi="Arial" w:cs="Arial"/>
                <w:i/>
                <w:color w:val="000000"/>
                <w:sz w:val="20"/>
                <w:szCs w:val="20"/>
              </w:rPr>
              <w:lastRenderedPageBreak/>
              <w:t>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lastRenderedPageBreak/>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ED5F75" w:rsidRDefault="00FB5F53" w:rsidP="00ED5F75">
            <w:pPr>
              <w:spacing w:after="0" w:line="276" w:lineRule="auto"/>
              <w:rPr>
                <w:rFonts w:ascii="Arial" w:eastAsia="Times New Roman" w:hAnsi="Arial" w:cs="Arial"/>
                <w:sz w:val="24"/>
                <w:szCs w:val="24"/>
              </w:rPr>
            </w:pPr>
            <w:r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ED5F75" w:rsidRDefault="00ED70FD" w:rsidP="00ED5F75">
            <w:pPr>
              <w:spacing w:after="0" w:line="276" w:lineRule="auto"/>
              <w:rPr>
                <w:rFonts w:ascii="Arial" w:eastAsia="Times New Roman" w:hAnsi="Arial" w:cs="Arial"/>
                <w:sz w:val="24"/>
                <w:szCs w:val="24"/>
              </w:rPr>
            </w:pP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de minimis</w:t>
            </w:r>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lastRenderedPageBreak/>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de minimis</w:t>
      </w:r>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7DA7E7DB" w14:textId="77777777" w:rsidR="00CE368D"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13DF8618" w14:textId="33C3DFB6" w:rsidR="00067E0C" w:rsidRPr="00ED5F75" w:rsidRDefault="00067E0C" w:rsidP="00ED5F75">
      <w:pPr>
        <w:spacing w:after="0" w:line="276" w:lineRule="auto"/>
        <w:jc w:val="both"/>
        <w:rPr>
          <w:rFonts w:ascii="Arial" w:eastAsia="Times New Roman" w:hAnsi="Arial" w:cs="Arial"/>
          <w:color w:val="000000"/>
          <w:sz w:val="24"/>
          <w:szCs w:val="24"/>
        </w:rPr>
      </w:pPr>
    </w:p>
    <w:p w14:paraId="21A9CE95" w14:textId="0BE12686"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Virginija Selmistraitienė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431606A5" w14:textId="78EFC6C8" w:rsidR="00AA12DD" w:rsidRPr="00ED5F75" w:rsidRDefault="00AA12DD"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0"/>
          <w:szCs w:val="20"/>
        </w:rPr>
        <w:t>(klausimyną pasirašančio asmens pareigų pavadinimas)                 (parašas)                     (vardas ir pavardė)</w:t>
      </w:r>
    </w:p>
    <w:p w14:paraId="3F09B93D" w14:textId="77777777" w:rsidR="00AA12DD" w:rsidRPr="00ED5F75" w:rsidRDefault="00AA12DD" w:rsidP="00ED5F75">
      <w:pPr>
        <w:spacing w:line="276" w:lineRule="auto"/>
        <w:rPr>
          <w:rFonts w:ascii="Arial" w:hAnsi="Arial" w:cs="Arial"/>
        </w:rPr>
      </w:pPr>
    </w:p>
    <w:p w14:paraId="50FCDE1D" w14:textId="77777777" w:rsidR="001B7727" w:rsidRPr="00ED5F75" w:rsidRDefault="001B7727" w:rsidP="00ED5F75">
      <w:pPr>
        <w:spacing w:after="0" w:line="276" w:lineRule="auto"/>
        <w:ind w:firstLine="583"/>
        <w:jc w:val="both"/>
        <w:rPr>
          <w:rFonts w:ascii="Arial" w:eastAsia="Times New Roman" w:hAnsi="Arial" w:cs="Arial"/>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7B13EB">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12D93"/>
    <w:rsid w:val="00067E0C"/>
    <w:rsid w:val="000758AC"/>
    <w:rsid w:val="00135DD6"/>
    <w:rsid w:val="001B7727"/>
    <w:rsid w:val="001C032A"/>
    <w:rsid w:val="001D5C62"/>
    <w:rsid w:val="002C6EF3"/>
    <w:rsid w:val="00364027"/>
    <w:rsid w:val="003F101B"/>
    <w:rsid w:val="00490CC4"/>
    <w:rsid w:val="00565192"/>
    <w:rsid w:val="005F0A90"/>
    <w:rsid w:val="00645CC5"/>
    <w:rsid w:val="00771164"/>
    <w:rsid w:val="007B13EB"/>
    <w:rsid w:val="00990385"/>
    <w:rsid w:val="00AA12DD"/>
    <w:rsid w:val="00C847D7"/>
    <w:rsid w:val="00CC3185"/>
    <w:rsid w:val="00CE368D"/>
    <w:rsid w:val="00D362F6"/>
    <w:rsid w:val="00DD2A1A"/>
    <w:rsid w:val="00E14FB2"/>
    <w:rsid w:val="00E33D87"/>
    <w:rsid w:val="00EA03A7"/>
    <w:rsid w:val="00EB0924"/>
    <w:rsid w:val="00ED5F75"/>
    <w:rsid w:val="00ED70FD"/>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4341</Words>
  <Characters>2475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Virginija Selmistraitienė</cp:lastModifiedBy>
  <cp:revision>14</cp:revision>
  <dcterms:created xsi:type="dcterms:W3CDTF">2022-06-20T08:37:00Z</dcterms:created>
  <dcterms:modified xsi:type="dcterms:W3CDTF">2024-06-11T12:34:00Z</dcterms:modified>
</cp:coreProperties>
</file>