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5D262A76"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8A7CBD">
        <w:rPr>
          <w:rFonts w:ascii="Arial" w:hAnsi="Arial" w:cs="Arial"/>
          <w:sz w:val="24"/>
          <w:szCs w:val="24"/>
          <w:u w:val="single"/>
          <w:lang w:val="lt-LT" w:eastAsia="lt-LT"/>
        </w:rPr>
        <w:t>10-</w:t>
      </w:r>
      <w:r w:rsidR="008F7139">
        <w:rPr>
          <w:rFonts w:ascii="Arial" w:hAnsi="Arial" w:cs="Arial"/>
          <w:sz w:val="24"/>
          <w:szCs w:val="24"/>
          <w:u w:val="single"/>
          <w:lang w:val="lt-LT" w:eastAsia="lt-LT"/>
        </w:rPr>
        <w:t>11</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705AD2">
        <w:rPr>
          <w:rFonts w:ascii="Arial" w:hAnsi="Arial" w:cs="Arial"/>
          <w:sz w:val="24"/>
          <w:szCs w:val="24"/>
          <w:u w:val="single"/>
          <w:lang w:val="lt-LT" w:eastAsia="lt-LT"/>
        </w:rPr>
        <w:t>90</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60D2B302" w14:textId="181C4EA0" w:rsidR="00E4009D" w:rsidRPr="0085099B" w:rsidRDefault="00E4009D" w:rsidP="008F7139">
      <w:pPr>
        <w:tabs>
          <w:tab w:val="right" w:leader="underscore" w:pos="9000"/>
        </w:tabs>
        <w:spacing w:after="0" w:line="240" w:lineRule="auto"/>
        <w:rPr>
          <w:rFonts w:ascii="Arial" w:hAnsi="Arial" w:cs="Arial"/>
          <w:sz w:val="20"/>
          <w:szCs w:val="20"/>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8F7139" w:rsidRPr="008F7139">
        <w:rPr>
          <w:rFonts w:ascii="Arial" w:hAnsi="Arial" w:cs="Arial"/>
          <w:sz w:val="24"/>
          <w:szCs w:val="24"/>
          <w:u w:val="single"/>
          <w:lang w:val="lt-LT" w:eastAsia="lt-LT"/>
        </w:rPr>
        <w:t>Sodininkų bendrijai „Minija“  (prašymas A23-4852)</w:t>
      </w:r>
      <w:r w:rsidR="008F7139" w:rsidRPr="008F7139">
        <w:rPr>
          <w:rFonts w:ascii="Arial" w:hAnsi="Arial" w:cs="Arial"/>
          <w:sz w:val="24"/>
          <w:szCs w:val="24"/>
          <w:u w:val="single"/>
          <w:lang w:val="lt-LT" w:eastAsia="lt-LT"/>
        </w:rPr>
        <w:t xml:space="preserve"> </w:t>
      </w:r>
      <w:r w:rsidRPr="0085099B">
        <w:rPr>
          <w:rFonts w:ascii="Arial" w:hAnsi="Arial" w:cs="Arial"/>
          <w:sz w:val="20"/>
          <w:szCs w:val="20"/>
          <w:lang w:val="lt-LT" w:eastAsia="lt-LT"/>
        </w:rPr>
        <w:t>(juridinio asmens pavadinimas (fizinio asmens inicialai),</w:t>
      </w:r>
    </w:p>
    <w:p w14:paraId="071C75A7" w14:textId="77777777" w:rsidR="008F7139" w:rsidRPr="008F7139" w:rsidRDefault="00E4009D" w:rsidP="008F7139">
      <w:pPr>
        <w:shd w:val="clear" w:color="auto" w:fill="FFFFFF"/>
        <w:spacing w:after="0" w:line="240" w:lineRule="auto"/>
        <w:jc w:val="both"/>
        <w:textAlignment w:val="baseline"/>
        <w:rPr>
          <w:rFonts w:ascii="Arial" w:hAnsi="Arial" w:cs="Arial"/>
          <w:sz w:val="24"/>
          <w:szCs w:val="24"/>
          <w:u w:val="single"/>
          <w:lang w:val="lt" w:bidi="ar-SA"/>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8F7139" w:rsidRPr="008F7139">
        <w:rPr>
          <w:rFonts w:ascii="Arial" w:hAnsi="Arial" w:cs="Arial"/>
          <w:sz w:val="24"/>
          <w:szCs w:val="24"/>
          <w:u w:val="single"/>
          <w:lang w:val="lt" w:bidi="ar-SA"/>
        </w:rPr>
        <w:t xml:space="preserve">laisvame nesuformuotame valstybiniame žemės sklype (sodininkų bendrijos „Minija“ bendro naudojimo teritorijoje),  Žiaukų kaime (šalia sklypo kad. Nr. 5552/0012:1020). </w:t>
      </w:r>
    </w:p>
    <w:p w14:paraId="744CE7FE" w14:textId="724D00EF" w:rsidR="00E122C9" w:rsidRPr="0085099B"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2"/>
        <w:gridCol w:w="1836"/>
        <w:gridCol w:w="1514"/>
        <w:gridCol w:w="3995"/>
        <w:gridCol w:w="1631"/>
      </w:tblGrid>
      <w:tr w:rsidR="008F7139" w:rsidRPr="008F7139" w14:paraId="7D6973B4" w14:textId="77777777" w:rsidTr="009A7D37">
        <w:tc>
          <w:tcPr>
            <w:tcW w:w="9962" w:type="dxa"/>
            <w:gridSpan w:val="5"/>
          </w:tcPr>
          <w:p w14:paraId="3E452356" w14:textId="77777777" w:rsidR="008F7139" w:rsidRPr="008F7139" w:rsidRDefault="008F7139" w:rsidP="008F7139">
            <w:pPr>
              <w:shd w:val="clear" w:color="auto" w:fill="FFFFFF"/>
              <w:spacing w:after="160" w:line="259" w:lineRule="auto"/>
              <w:jc w:val="both"/>
              <w:textAlignment w:val="baseline"/>
              <w:rPr>
                <w:rFonts w:ascii="Arial" w:hAnsi="Arial" w:cs="Arial"/>
                <w:sz w:val="24"/>
                <w:szCs w:val="24"/>
                <w:lang w:val="lt-LT" w:bidi="ar-SA"/>
              </w:rPr>
            </w:pPr>
            <w:bookmarkStart w:id="0" w:name="_Hlk132296437"/>
            <w:bookmarkStart w:id="1" w:name="_Hlk141433227"/>
            <w:r w:rsidRPr="008F7139">
              <w:rPr>
                <w:rFonts w:ascii="Arial" w:hAnsi="Arial" w:cs="Arial"/>
                <w:sz w:val="24"/>
                <w:szCs w:val="24"/>
                <w:lang w:val="lt-LT" w:bidi="ar-SA"/>
              </w:rPr>
              <w:t xml:space="preserve">Sklype – Priekulės seniūnijoje, laisvas nesuformuotas </w:t>
            </w:r>
          </w:p>
        </w:tc>
      </w:tr>
      <w:tr w:rsidR="008F7139" w:rsidRPr="008F7139" w14:paraId="439284E5" w14:textId="77777777" w:rsidTr="009A7D37">
        <w:tc>
          <w:tcPr>
            <w:tcW w:w="662" w:type="dxa"/>
          </w:tcPr>
          <w:p w14:paraId="5188BBF2" w14:textId="77777777" w:rsidR="008F7139" w:rsidRPr="008F7139" w:rsidRDefault="008F7139" w:rsidP="008F7139">
            <w:pPr>
              <w:spacing w:after="160" w:line="259" w:lineRule="auto"/>
              <w:jc w:val="both"/>
              <w:rPr>
                <w:rFonts w:ascii="Arial" w:hAnsi="Arial" w:cs="Arial"/>
                <w:sz w:val="24"/>
                <w:szCs w:val="24"/>
                <w:lang w:val="lt" w:bidi="ar-SA"/>
              </w:rPr>
            </w:pPr>
            <w:r w:rsidRPr="008F7139">
              <w:rPr>
                <w:rFonts w:ascii="Arial" w:hAnsi="Arial" w:cs="Arial"/>
                <w:sz w:val="24"/>
                <w:szCs w:val="24"/>
                <w:lang w:val="lt" w:bidi="ar-SA"/>
              </w:rPr>
              <w:t>Nr.</w:t>
            </w:r>
          </w:p>
        </w:tc>
        <w:tc>
          <w:tcPr>
            <w:tcW w:w="1898" w:type="dxa"/>
          </w:tcPr>
          <w:p w14:paraId="059F20FD"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Želdinio rūšis</w:t>
            </w:r>
          </w:p>
        </w:tc>
        <w:tc>
          <w:tcPr>
            <w:tcW w:w="1534" w:type="dxa"/>
          </w:tcPr>
          <w:p w14:paraId="44C136DE"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Skersmuo 1,30 m</w:t>
            </w:r>
          </w:p>
        </w:tc>
        <w:tc>
          <w:tcPr>
            <w:tcW w:w="4217" w:type="dxa"/>
          </w:tcPr>
          <w:p w14:paraId="4362BBE3"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Būklė</w:t>
            </w:r>
          </w:p>
        </w:tc>
        <w:tc>
          <w:tcPr>
            <w:tcW w:w="1651" w:type="dxa"/>
          </w:tcPr>
          <w:p w14:paraId="3DCEDA1E"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Atkuriamoji vertė €</w:t>
            </w:r>
          </w:p>
        </w:tc>
      </w:tr>
      <w:tr w:rsidR="008F7139" w:rsidRPr="008F7139" w14:paraId="5AF2FDE1" w14:textId="77777777" w:rsidTr="009A7D37">
        <w:trPr>
          <w:trHeight w:val="1543"/>
        </w:trPr>
        <w:tc>
          <w:tcPr>
            <w:tcW w:w="662" w:type="dxa"/>
          </w:tcPr>
          <w:p w14:paraId="6701106B" w14:textId="77777777" w:rsidR="008F7139" w:rsidRPr="008F7139" w:rsidRDefault="008F7139" w:rsidP="008F7139">
            <w:pPr>
              <w:spacing w:after="160" w:line="259" w:lineRule="auto"/>
              <w:jc w:val="both"/>
              <w:rPr>
                <w:rFonts w:ascii="Arial" w:hAnsi="Arial" w:cs="Arial"/>
                <w:sz w:val="24"/>
                <w:szCs w:val="24"/>
                <w:lang w:val="lt" w:bidi="ar-SA"/>
              </w:rPr>
            </w:pPr>
            <w:r w:rsidRPr="008F7139">
              <w:rPr>
                <w:rFonts w:ascii="Arial" w:hAnsi="Arial" w:cs="Arial"/>
                <w:sz w:val="24"/>
                <w:szCs w:val="24"/>
                <w:lang w:val="lt" w:bidi="ar-SA"/>
              </w:rPr>
              <w:t>1.</w:t>
            </w:r>
          </w:p>
        </w:tc>
        <w:tc>
          <w:tcPr>
            <w:tcW w:w="1898" w:type="dxa"/>
          </w:tcPr>
          <w:p w14:paraId="2EDFC0CC"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Gluosnis</w:t>
            </w:r>
          </w:p>
        </w:tc>
        <w:tc>
          <w:tcPr>
            <w:tcW w:w="1534" w:type="dxa"/>
          </w:tcPr>
          <w:p w14:paraId="58F42979"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55 cm</w:t>
            </w:r>
          </w:p>
          <w:p w14:paraId="29E7FF38" w14:textId="77777777" w:rsidR="008F7139" w:rsidRPr="008F7139" w:rsidRDefault="008F7139" w:rsidP="008F7139">
            <w:pPr>
              <w:spacing w:after="160" w:line="259" w:lineRule="auto"/>
              <w:jc w:val="center"/>
              <w:rPr>
                <w:rFonts w:ascii="Arial" w:hAnsi="Arial" w:cs="Arial"/>
                <w:sz w:val="24"/>
                <w:szCs w:val="24"/>
                <w:lang w:val="lt" w:bidi="ar-SA"/>
              </w:rPr>
            </w:pPr>
          </w:p>
        </w:tc>
        <w:tc>
          <w:tcPr>
            <w:tcW w:w="4217" w:type="dxa"/>
          </w:tcPr>
          <w:p w14:paraId="4436CF46" w14:textId="77777777" w:rsidR="008F7139" w:rsidRPr="008F7139" w:rsidRDefault="008F7139" w:rsidP="008F7139">
            <w:pPr>
              <w:suppressAutoHyphens/>
              <w:spacing w:after="160" w:line="259" w:lineRule="auto"/>
              <w:jc w:val="both"/>
              <w:rPr>
                <w:rFonts w:ascii="Arial" w:hAnsi="Arial" w:cs="Arial"/>
                <w:sz w:val="24"/>
                <w:szCs w:val="24"/>
                <w:lang w:bidi="ar-SA"/>
              </w:rPr>
            </w:pPr>
            <w:r w:rsidRPr="008F7139">
              <w:rPr>
                <w:rFonts w:ascii="Arial" w:hAnsi="Arial" w:cs="Arial"/>
                <w:sz w:val="24"/>
                <w:szCs w:val="24"/>
                <w:lang w:val="lt-LT" w:bidi="ar-SA"/>
              </w:rPr>
              <w:t>Būklė – bloga. Želdinių grupę sudarė 3 vnt. gluosnių, kurie augo iš vienos vietos, vienas iš želdinių audros metu nukrito. Nuvirtusio medžio vietoje matomi puviniai. Likę želdiniai pavojingi, galima vėjovarta, nes medžių grupės šaknynas išjudintas, vienas iš želdinių 15</w:t>
            </w:r>
            <w:r w:rsidRPr="008F7139">
              <w:rPr>
                <w:rFonts w:ascii="Arial" w:hAnsi="Arial" w:cs="Arial"/>
                <w:sz w:val="24"/>
                <w:szCs w:val="24"/>
                <w:vertAlign w:val="superscript"/>
                <w:lang w:val="lt-LT" w:bidi="ar-SA"/>
              </w:rPr>
              <w:t>0</w:t>
            </w:r>
            <w:r w:rsidRPr="008F7139">
              <w:rPr>
                <w:rFonts w:ascii="Arial" w:hAnsi="Arial" w:cs="Arial"/>
                <w:sz w:val="24"/>
                <w:szCs w:val="24"/>
                <w:lang w:val="lt-LT" w:bidi="ar-SA"/>
              </w:rPr>
              <w:t xml:space="preserve"> pasviręs link privačios sodo sklypo teritorijos sklypo teritorijos ir virtusio medžio vietoje matomi puviniai. </w:t>
            </w:r>
          </w:p>
          <w:p w14:paraId="05BA98A9" w14:textId="77777777" w:rsidR="008F7139" w:rsidRPr="008F7139" w:rsidRDefault="008F7139" w:rsidP="008F7139">
            <w:pPr>
              <w:suppressAutoHyphens/>
              <w:spacing w:after="160" w:line="259" w:lineRule="auto"/>
              <w:jc w:val="both"/>
              <w:rPr>
                <w:rFonts w:ascii="Arial" w:hAnsi="Arial" w:cs="Arial"/>
                <w:sz w:val="24"/>
                <w:szCs w:val="24"/>
                <w:lang w:val="lt-LT" w:bidi="ar-SA"/>
              </w:rPr>
            </w:pPr>
            <w:r w:rsidRPr="008F7139">
              <w:rPr>
                <w:rFonts w:ascii="Arial" w:hAnsi="Arial" w:cs="Arial"/>
                <w:sz w:val="24"/>
                <w:szCs w:val="24"/>
                <w:lang w:val="lt-LT" w:bidi="ar-SA"/>
              </w:rPr>
              <w:t xml:space="preserve">Išduodamas leidimas pavojingo želdinio pašalinimui. </w:t>
            </w:r>
          </w:p>
          <w:p w14:paraId="627F31E8" w14:textId="77777777" w:rsidR="008F7139" w:rsidRPr="008F7139" w:rsidRDefault="008F7139" w:rsidP="008F7139">
            <w:pPr>
              <w:suppressAutoHyphens/>
              <w:spacing w:after="160" w:line="259" w:lineRule="auto"/>
              <w:jc w:val="both"/>
              <w:rPr>
                <w:rFonts w:ascii="Arial" w:hAnsi="Arial" w:cs="Arial"/>
                <w:sz w:val="24"/>
                <w:szCs w:val="24"/>
                <w:lang w:val="lt-LT" w:bidi="ar-SA"/>
              </w:rPr>
            </w:pPr>
          </w:p>
        </w:tc>
        <w:tc>
          <w:tcPr>
            <w:tcW w:w="1651" w:type="dxa"/>
          </w:tcPr>
          <w:p w14:paraId="44AA790F"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0</w:t>
            </w:r>
          </w:p>
        </w:tc>
      </w:tr>
      <w:tr w:rsidR="008F7139" w:rsidRPr="008F7139" w14:paraId="5523C2CF" w14:textId="77777777" w:rsidTr="009A7D37">
        <w:trPr>
          <w:trHeight w:val="1543"/>
        </w:trPr>
        <w:tc>
          <w:tcPr>
            <w:tcW w:w="662" w:type="dxa"/>
          </w:tcPr>
          <w:p w14:paraId="37027AE1" w14:textId="77777777" w:rsidR="008F7139" w:rsidRPr="008F7139" w:rsidRDefault="008F7139" w:rsidP="008F7139">
            <w:pPr>
              <w:spacing w:after="160" w:line="259" w:lineRule="auto"/>
              <w:jc w:val="both"/>
              <w:rPr>
                <w:rFonts w:ascii="Arial" w:hAnsi="Arial" w:cs="Arial"/>
                <w:sz w:val="24"/>
                <w:szCs w:val="24"/>
                <w:lang w:val="lt" w:bidi="ar-SA"/>
              </w:rPr>
            </w:pPr>
            <w:r w:rsidRPr="008F7139">
              <w:rPr>
                <w:rFonts w:ascii="Arial" w:hAnsi="Arial" w:cs="Arial"/>
                <w:sz w:val="24"/>
                <w:szCs w:val="24"/>
                <w:lang w:val="lt" w:bidi="ar-SA"/>
              </w:rPr>
              <w:t>2.</w:t>
            </w:r>
          </w:p>
        </w:tc>
        <w:tc>
          <w:tcPr>
            <w:tcW w:w="1898" w:type="dxa"/>
          </w:tcPr>
          <w:p w14:paraId="7530D0EB"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Gluosnis</w:t>
            </w:r>
          </w:p>
        </w:tc>
        <w:tc>
          <w:tcPr>
            <w:tcW w:w="1534" w:type="dxa"/>
          </w:tcPr>
          <w:p w14:paraId="6CCBB6A3"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t>46</w:t>
            </w:r>
          </w:p>
        </w:tc>
        <w:tc>
          <w:tcPr>
            <w:tcW w:w="4217" w:type="dxa"/>
          </w:tcPr>
          <w:p w14:paraId="5E2A8160" w14:textId="77777777" w:rsidR="008F7139" w:rsidRPr="008F7139" w:rsidRDefault="008F7139" w:rsidP="008F7139">
            <w:pPr>
              <w:suppressAutoHyphens/>
              <w:spacing w:after="160" w:line="259" w:lineRule="auto"/>
              <w:jc w:val="both"/>
              <w:rPr>
                <w:rFonts w:ascii="Arial" w:hAnsi="Arial" w:cs="Arial"/>
                <w:sz w:val="24"/>
                <w:szCs w:val="24"/>
                <w:lang w:bidi="ar-SA"/>
              </w:rPr>
            </w:pPr>
            <w:r w:rsidRPr="008F7139">
              <w:rPr>
                <w:rFonts w:ascii="Arial" w:hAnsi="Arial" w:cs="Arial"/>
                <w:sz w:val="24"/>
                <w:szCs w:val="24"/>
                <w:lang w:val="lt-LT" w:bidi="ar-SA"/>
              </w:rPr>
              <w:t>Būklė – bloga. Želdinių grupę sudarė 3 vnt. gluosnių, kurie augo iš vienos vietos, vienas iš želdinių audros metu nukrito. Nuvirtusio medžio vietoje matomi puviniai. Likę želdiniai pavojingi, galima vėjovarta, nes medžių grupės šaknynas išjudintas, vienas iš želdinių 15</w:t>
            </w:r>
            <w:r w:rsidRPr="008F7139">
              <w:rPr>
                <w:rFonts w:ascii="Arial" w:hAnsi="Arial" w:cs="Arial"/>
                <w:sz w:val="24"/>
                <w:szCs w:val="24"/>
                <w:vertAlign w:val="superscript"/>
                <w:lang w:val="lt-LT" w:bidi="ar-SA"/>
              </w:rPr>
              <w:t>0</w:t>
            </w:r>
            <w:r w:rsidRPr="008F7139">
              <w:rPr>
                <w:rFonts w:ascii="Arial" w:hAnsi="Arial" w:cs="Arial"/>
                <w:sz w:val="24"/>
                <w:szCs w:val="24"/>
                <w:lang w:val="lt-LT" w:bidi="ar-SA"/>
              </w:rPr>
              <w:t xml:space="preserve"> pasviręs link privačios sodo sklypo teritorijos sklypo teritorijos ir virtusio medžio vietoje matomi puviniai. </w:t>
            </w:r>
          </w:p>
          <w:p w14:paraId="1FB22AF3" w14:textId="77777777" w:rsidR="008F7139" w:rsidRPr="008F7139" w:rsidRDefault="008F7139" w:rsidP="008F7139">
            <w:pPr>
              <w:suppressAutoHyphens/>
              <w:spacing w:after="160" w:line="259" w:lineRule="auto"/>
              <w:jc w:val="both"/>
              <w:rPr>
                <w:rFonts w:ascii="Arial" w:hAnsi="Arial" w:cs="Arial"/>
                <w:sz w:val="24"/>
                <w:szCs w:val="24"/>
                <w:lang w:val="lt-LT" w:bidi="ar-SA"/>
              </w:rPr>
            </w:pPr>
            <w:r w:rsidRPr="008F7139">
              <w:rPr>
                <w:rFonts w:ascii="Arial" w:hAnsi="Arial" w:cs="Arial"/>
                <w:sz w:val="24"/>
                <w:szCs w:val="24"/>
                <w:lang w:val="lt-LT" w:bidi="ar-SA"/>
              </w:rPr>
              <w:lastRenderedPageBreak/>
              <w:t xml:space="preserve">Išduodamas leidimas pavojingo želdinio pašalinimui. </w:t>
            </w:r>
          </w:p>
          <w:p w14:paraId="11267569" w14:textId="77777777" w:rsidR="008F7139" w:rsidRPr="008F7139" w:rsidRDefault="008F7139" w:rsidP="008F7139">
            <w:pPr>
              <w:suppressAutoHyphens/>
              <w:spacing w:after="160" w:line="259" w:lineRule="auto"/>
              <w:jc w:val="both"/>
              <w:rPr>
                <w:rFonts w:ascii="Arial" w:hAnsi="Arial" w:cs="Arial"/>
                <w:sz w:val="24"/>
                <w:szCs w:val="24"/>
                <w:lang w:val="lt-LT" w:bidi="ar-SA"/>
              </w:rPr>
            </w:pPr>
          </w:p>
        </w:tc>
        <w:tc>
          <w:tcPr>
            <w:tcW w:w="1651" w:type="dxa"/>
          </w:tcPr>
          <w:p w14:paraId="0B72FB6A" w14:textId="77777777" w:rsidR="008F7139" w:rsidRPr="008F7139" w:rsidRDefault="008F7139" w:rsidP="008F7139">
            <w:pPr>
              <w:spacing w:after="160" w:line="259" w:lineRule="auto"/>
              <w:jc w:val="center"/>
              <w:rPr>
                <w:rFonts w:ascii="Arial" w:hAnsi="Arial" w:cs="Arial"/>
                <w:sz w:val="24"/>
                <w:szCs w:val="24"/>
                <w:lang w:val="lt" w:bidi="ar-SA"/>
              </w:rPr>
            </w:pPr>
            <w:r w:rsidRPr="008F7139">
              <w:rPr>
                <w:rFonts w:ascii="Arial" w:hAnsi="Arial" w:cs="Arial"/>
                <w:sz w:val="24"/>
                <w:szCs w:val="24"/>
                <w:lang w:val="lt" w:bidi="ar-SA"/>
              </w:rPr>
              <w:lastRenderedPageBreak/>
              <w:t>0</w:t>
            </w:r>
          </w:p>
        </w:tc>
      </w:tr>
      <w:tr w:rsidR="008F7139" w:rsidRPr="008F7139" w14:paraId="7D6243E7" w14:textId="77777777" w:rsidTr="009A7D37">
        <w:trPr>
          <w:trHeight w:val="393"/>
        </w:trPr>
        <w:tc>
          <w:tcPr>
            <w:tcW w:w="9962" w:type="dxa"/>
            <w:gridSpan w:val="5"/>
          </w:tcPr>
          <w:p w14:paraId="57F56CF8" w14:textId="77777777" w:rsidR="008F7139" w:rsidRPr="008F7139" w:rsidRDefault="008F7139" w:rsidP="008F7139">
            <w:pPr>
              <w:spacing w:after="160" w:line="259" w:lineRule="auto"/>
              <w:jc w:val="both"/>
              <w:rPr>
                <w:rFonts w:ascii="Arial" w:hAnsi="Arial" w:cs="Arial"/>
                <w:sz w:val="24"/>
                <w:szCs w:val="24"/>
                <w:lang w:val="lt" w:bidi="ar-SA"/>
              </w:rPr>
            </w:pPr>
            <w:r w:rsidRPr="008F7139">
              <w:rPr>
                <w:rFonts w:ascii="Arial" w:hAnsi="Arial" w:cs="Arial"/>
                <w:sz w:val="24"/>
                <w:szCs w:val="24"/>
                <w:lang w:val="lt" w:bidi="ar-SA"/>
              </w:rPr>
              <w:t xml:space="preserve">Leidimas išduodamas neatlygintinai. </w:t>
            </w:r>
            <w:r w:rsidRPr="008F7139">
              <w:rPr>
                <w:rFonts w:ascii="Arial" w:hAnsi="Arial" w:cs="Arial"/>
                <w:sz w:val="24"/>
                <w:szCs w:val="24"/>
                <w:lang w:val="lt-LT" w:bidi="ar-SA"/>
              </w:rPr>
              <w:t xml:space="preserve">Vadovaujantis Lietuvos Respublikos želdynų įstatymo 13 straipsnio 3 dalies 3 punktu leidimas išduodamas neatlygintinai nes </w:t>
            </w:r>
            <w:r w:rsidRPr="008F7139">
              <w:rPr>
                <w:rFonts w:ascii="Arial" w:hAnsi="Arial" w:cs="Arial"/>
                <w:color w:val="000000"/>
                <w:sz w:val="24"/>
                <w:szCs w:val="24"/>
                <w:lang w:val="lt-LT" w:bidi="ar-SA"/>
              </w:rPr>
              <w:t xml:space="preserve">pagal aplinkos ministro tvirtinamuose Želdinių atkuriamosios vertės įkainiuose nustatytus želdinių būklės vertinimo kriterijus dėl ligų intensyvumo, kenkėjų gausumo ir kamieno (žievės) mechaninio pažeidimo intensyvumo yra nepatenkinamos arba </w:t>
            </w:r>
            <w:r w:rsidRPr="008F7139">
              <w:rPr>
                <w:rFonts w:ascii="Arial" w:hAnsi="Arial" w:cs="Arial"/>
                <w:b/>
                <w:bCs/>
                <w:color w:val="000000"/>
                <w:sz w:val="24"/>
                <w:szCs w:val="24"/>
                <w:lang w:val="lt-LT" w:bidi="ar-SA"/>
              </w:rPr>
              <w:t>blogos būklės</w:t>
            </w:r>
            <w:r w:rsidRPr="008F7139">
              <w:rPr>
                <w:rFonts w:ascii="Arial" w:hAnsi="Arial" w:cs="Arial"/>
                <w:color w:val="000000"/>
                <w:sz w:val="24"/>
                <w:szCs w:val="24"/>
                <w:lang w:val="lt-LT" w:bidi="ar-SA"/>
              </w:rPr>
              <w:t xml:space="preserve"> (išskyrus biologinei įvairovei svarbius želdinius, kurie nekelia pavojaus gyventojams, jų turtui, statiniams ir eismo saugumui)</w:t>
            </w:r>
            <w:r w:rsidRPr="008F7139">
              <w:rPr>
                <w:rFonts w:ascii="Arial" w:hAnsi="Arial" w:cs="Arial"/>
                <w:sz w:val="24"/>
                <w:szCs w:val="24"/>
                <w:lang w:val="lt-LT" w:bidi="ar-SA"/>
              </w:rPr>
              <w:t xml:space="preserve">  </w:t>
            </w:r>
            <w:r w:rsidRPr="008F7139">
              <w:rPr>
                <w:rFonts w:ascii="Arial" w:hAnsi="Arial" w:cs="Arial"/>
                <w:color w:val="000000"/>
                <w:lang w:val="lt-LT" w:bidi="ar-SA"/>
              </w:rPr>
              <w:t xml:space="preserve"> </w:t>
            </w:r>
          </w:p>
        </w:tc>
      </w:tr>
      <w:tr w:rsidR="008F7139" w:rsidRPr="008F7139" w14:paraId="1FD7ADE3" w14:textId="77777777" w:rsidTr="009A7D37">
        <w:tc>
          <w:tcPr>
            <w:tcW w:w="8311" w:type="dxa"/>
            <w:gridSpan w:val="4"/>
          </w:tcPr>
          <w:p w14:paraId="3DD3DEA4" w14:textId="77777777" w:rsidR="008F7139" w:rsidRPr="008F7139" w:rsidRDefault="008F7139" w:rsidP="008F7139">
            <w:pPr>
              <w:spacing w:after="160" w:line="259" w:lineRule="auto"/>
              <w:jc w:val="both"/>
              <w:rPr>
                <w:rFonts w:ascii="Arial" w:hAnsi="Arial" w:cs="Arial"/>
                <w:sz w:val="24"/>
                <w:szCs w:val="24"/>
                <w:lang w:val="lt" w:bidi="ar-SA"/>
              </w:rPr>
            </w:pPr>
            <w:r w:rsidRPr="008F7139">
              <w:rPr>
                <w:rFonts w:ascii="Arial" w:hAnsi="Arial" w:cs="Arial"/>
                <w:sz w:val="24"/>
                <w:szCs w:val="24"/>
                <w:lang w:val="lt" w:bidi="ar-SA"/>
              </w:rPr>
              <w:t>Iš viso:</w:t>
            </w:r>
          </w:p>
        </w:tc>
        <w:tc>
          <w:tcPr>
            <w:tcW w:w="1651" w:type="dxa"/>
          </w:tcPr>
          <w:p w14:paraId="04111ECF" w14:textId="77777777" w:rsidR="008F7139" w:rsidRPr="008F7139" w:rsidRDefault="008F7139" w:rsidP="008F7139">
            <w:pPr>
              <w:spacing w:after="160" w:line="259" w:lineRule="auto"/>
              <w:jc w:val="center"/>
              <w:rPr>
                <w:rFonts w:ascii="Arial" w:hAnsi="Arial" w:cs="Arial"/>
                <w:b/>
                <w:bCs/>
                <w:sz w:val="24"/>
                <w:szCs w:val="24"/>
                <w:u w:val="single"/>
                <w:lang w:val="lt" w:bidi="ar-SA"/>
              </w:rPr>
            </w:pPr>
            <w:r w:rsidRPr="008F7139">
              <w:rPr>
                <w:rFonts w:ascii="Arial" w:hAnsi="Arial" w:cs="Arial"/>
                <w:b/>
                <w:bCs/>
                <w:sz w:val="24"/>
                <w:szCs w:val="24"/>
                <w:u w:val="single"/>
                <w:lang w:val="lt" w:bidi="ar-SA"/>
              </w:rPr>
              <w:t>0 €</w:t>
            </w:r>
          </w:p>
        </w:tc>
      </w:tr>
      <w:bookmarkEnd w:id="0"/>
      <w:bookmarkEnd w:id="1"/>
    </w:tbl>
    <w:p w14:paraId="112D4FEB" w14:textId="77777777" w:rsidR="008F7139" w:rsidRDefault="008F7139" w:rsidP="008F7139">
      <w:pPr>
        <w:spacing w:after="0" w:line="240" w:lineRule="auto"/>
        <w:rPr>
          <w:rFonts w:ascii="Arial" w:hAnsi="Arial" w:cs="Arial"/>
          <w:sz w:val="20"/>
          <w:szCs w:val="20"/>
          <w:lang w:val="lt-LT" w:eastAsia="lt-LT"/>
        </w:rPr>
      </w:pPr>
    </w:p>
    <w:p w14:paraId="48D89C76" w14:textId="5156FCCE"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05DF3CD9"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8F7139">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57EF6097"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8F7139">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C02D863"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w:t>
      </w:r>
      <w:r w:rsidR="008F7139">
        <w:rPr>
          <w:rFonts w:ascii="Arial" w:hAnsi="Arial" w:cs="Arial"/>
          <w:b/>
          <w:bCs/>
          <w:sz w:val="24"/>
          <w:szCs w:val="24"/>
          <w:u w:val="single"/>
          <w:lang w:val="lt-LT" w:eastAsia="lt-LT"/>
        </w:rPr>
        <w:t>1-08</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Default="00212FE3" w:rsidP="001E277B">
      <w:pPr>
        <w:spacing w:after="0" w:line="240" w:lineRule="auto"/>
        <w:rPr>
          <w:rFonts w:ascii="Arial" w:hAnsi="Arial" w:cs="Arial"/>
          <w:sz w:val="24"/>
          <w:szCs w:val="24"/>
          <w:lang w:val="lt-LT"/>
        </w:rPr>
      </w:pPr>
    </w:p>
    <w:p w14:paraId="63529F5E" w14:textId="17C67A54" w:rsidR="003A4B54" w:rsidRPr="003A4B54"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Savivaldybės </w:t>
      </w:r>
      <w:r w:rsidR="006665F1">
        <w:rPr>
          <w:rFonts w:ascii="Arial" w:hAnsi="Arial" w:cs="Arial"/>
          <w:sz w:val="24"/>
          <w:szCs w:val="24"/>
          <w:lang w:val="lt-LT"/>
        </w:rPr>
        <w:t>meras</w:t>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t>Bronius Markauskas</w:t>
      </w:r>
      <w:r w:rsidRPr="003A4B54">
        <w:rPr>
          <w:rFonts w:ascii="Arial" w:hAnsi="Arial" w:cs="Arial"/>
          <w:sz w:val="24"/>
          <w:szCs w:val="24"/>
          <w:lang w:val="lt-LT"/>
        </w:rPr>
        <w:t xml:space="preserve">                                                                          </w:t>
      </w:r>
    </w:p>
    <w:p w14:paraId="5D32D84E" w14:textId="0CC922A6" w:rsidR="00A02DFC" w:rsidRPr="0085099B" w:rsidRDefault="00A02DFC" w:rsidP="003A4B54">
      <w:pPr>
        <w:spacing w:after="0" w:line="240" w:lineRule="auto"/>
        <w:rPr>
          <w:rFonts w:ascii="Arial" w:hAnsi="Arial" w:cs="Arial"/>
          <w:sz w:val="24"/>
          <w:szCs w:val="24"/>
          <w:lang w:val="lt-LT"/>
        </w:rPr>
      </w:pP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CB8"/>
    <w:rsid w:val="00584244"/>
    <w:rsid w:val="0059179B"/>
    <w:rsid w:val="00596F7E"/>
    <w:rsid w:val="00597E4A"/>
    <w:rsid w:val="005A2B2B"/>
    <w:rsid w:val="005A56CC"/>
    <w:rsid w:val="005A6580"/>
    <w:rsid w:val="005B1391"/>
    <w:rsid w:val="005C2E56"/>
    <w:rsid w:val="005E1C5F"/>
    <w:rsid w:val="00601D47"/>
    <w:rsid w:val="00601D87"/>
    <w:rsid w:val="006055D0"/>
    <w:rsid w:val="00611807"/>
    <w:rsid w:val="00621D09"/>
    <w:rsid w:val="006220E2"/>
    <w:rsid w:val="00630515"/>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6491"/>
    <w:rsid w:val="00766A65"/>
    <w:rsid w:val="00791839"/>
    <w:rsid w:val="00792B03"/>
    <w:rsid w:val="007A7986"/>
    <w:rsid w:val="007B1B94"/>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2273</Words>
  <Characters>1297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29</cp:revision>
  <cp:lastPrinted>2024-02-19T14:48:00Z</cp:lastPrinted>
  <dcterms:created xsi:type="dcterms:W3CDTF">2024-08-12T13:31:00Z</dcterms:created>
  <dcterms:modified xsi:type="dcterms:W3CDTF">2024-10-11T06:43:00Z</dcterms:modified>
</cp:coreProperties>
</file>