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361720C5"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A7767A">
        <w:rPr>
          <w:rFonts w:ascii="Arial" w:hAnsi="Arial" w:cs="Arial"/>
          <w:sz w:val="24"/>
          <w:szCs w:val="24"/>
          <w:u w:val="single"/>
          <w:lang w:val="lt-LT" w:eastAsia="lt-LT"/>
        </w:rPr>
        <w:t>5-02-21</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A7767A">
        <w:rPr>
          <w:rFonts w:ascii="Arial" w:hAnsi="Arial" w:cs="Arial"/>
          <w:sz w:val="24"/>
          <w:szCs w:val="24"/>
          <w:u w:val="single"/>
          <w:lang w:val="lt-LT" w:eastAsia="lt-LT"/>
        </w:rPr>
        <w:t>16</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6DEF1543"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A7767A" w:rsidRPr="00A7767A">
        <w:rPr>
          <w:rFonts w:ascii="Arial" w:hAnsi="Arial" w:cs="Arial"/>
          <w:sz w:val="24"/>
          <w:szCs w:val="24"/>
          <w:u w:val="single"/>
          <w:lang w:val="lt-LT" w:eastAsia="lt-LT"/>
        </w:rPr>
        <w:t>E</w:t>
      </w:r>
      <w:r w:rsidR="00340A7A">
        <w:rPr>
          <w:rFonts w:ascii="Arial" w:hAnsi="Arial" w:cs="Arial"/>
          <w:sz w:val="24"/>
          <w:szCs w:val="24"/>
          <w:u w:val="single"/>
          <w:lang w:val="lt-LT" w:eastAsia="lt-LT"/>
        </w:rPr>
        <w:t>.</w:t>
      </w:r>
      <w:r w:rsidR="00A7767A" w:rsidRPr="00A7767A">
        <w:rPr>
          <w:rFonts w:ascii="Arial" w:hAnsi="Arial" w:cs="Arial"/>
          <w:sz w:val="24"/>
          <w:szCs w:val="24"/>
          <w:u w:val="single"/>
          <w:lang w:val="lt-LT" w:eastAsia="lt-LT"/>
        </w:rPr>
        <w:t xml:space="preserve"> M</w:t>
      </w:r>
      <w:r w:rsidR="00340A7A">
        <w:rPr>
          <w:rFonts w:ascii="Arial" w:hAnsi="Arial" w:cs="Arial"/>
          <w:sz w:val="24"/>
          <w:szCs w:val="24"/>
          <w:u w:val="single"/>
          <w:lang w:val="lt-LT" w:eastAsia="lt-LT"/>
        </w:rPr>
        <w:t>.</w:t>
      </w:r>
      <w:r w:rsidR="00A7767A" w:rsidRPr="00A7767A">
        <w:rPr>
          <w:rFonts w:ascii="Arial" w:hAnsi="Arial" w:cs="Arial"/>
          <w:sz w:val="24"/>
          <w:szCs w:val="24"/>
          <w:u w:val="single"/>
          <w:lang w:val="lt-LT" w:eastAsia="lt-LT"/>
        </w:rPr>
        <w:t>, I</w:t>
      </w:r>
      <w:r w:rsidR="00340A7A">
        <w:rPr>
          <w:rFonts w:ascii="Arial" w:hAnsi="Arial" w:cs="Arial"/>
          <w:sz w:val="24"/>
          <w:szCs w:val="24"/>
          <w:u w:val="single"/>
          <w:lang w:val="lt-LT" w:eastAsia="lt-LT"/>
        </w:rPr>
        <w:t>.</w:t>
      </w:r>
      <w:r w:rsidR="00A7767A" w:rsidRPr="00A7767A">
        <w:rPr>
          <w:rFonts w:ascii="Arial" w:hAnsi="Arial" w:cs="Arial"/>
          <w:sz w:val="24"/>
          <w:szCs w:val="24"/>
          <w:u w:val="single"/>
          <w:lang w:val="lt-LT" w:eastAsia="lt-LT"/>
        </w:rPr>
        <w:t xml:space="preserve"> D</w:t>
      </w:r>
      <w:r w:rsidR="00340A7A">
        <w:rPr>
          <w:rFonts w:ascii="Arial" w:hAnsi="Arial" w:cs="Arial"/>
          <w:sz w:val="24"/>
          <w:szCs w:val="24"/>
          <w:u w:val="single"/>
          <w:lang w:val="lt-LT" w:eastAsia="lt-LT"/>
        </w:rPr>
        <w:t>.</w:t>
      </w:r>
      <w:r w:rsidR="00A7767A" w:rsidRPr="00A7767A">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860191">
        <w:rPr>
          <w:rFonts w:ascii="Arial" w:hAnsi="Arial" w:cs="Arial"/>
          <w:color w:val="000000"/>
          <w:sz w:val="24"/>
          <w:szCs w:val="24"/>
          <w:u w:val="single"/>
          <w:bdr w:val="none" w:sz="0" w:space="0" w:color="auto" w:frame="1"/>
        </w:rPr>
        <w:t>A</w:t>
      </w:r>
      <w:r w:rsidR="00A7767A">
        <w:rPr>
          <w:rFonts w:ascii="Arial" w:hAnsi="Arial" w:cs="Arial"/>
          <w:color w:val="000000"/>
          <w:sz w:val="24"/>
          <w:szCs w:val="24"/>
          <w:u w:val="single"/>
          <w:bdr w:val="none" w:sz="0" w:space="0" w:color="auto" w:frame="1"/>
        </w:rPr>
        <w:t>13-275</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1782DE43" w14:textId="03EB7D70" w:rsidR="00842629" w:rsidRDefault="00E4009D" w:rsidP="000D0DF0">
      <w:pPr>
        <w:shd w:val="clear" w:color="auto" w:fill="FFFFFF"/>
        <w:spacing w:after="0" w:line="240" w:lineRule="auto"/>
        <w:jc w:val="both"/>
        <w:textAlignment w:val="baseline"/>
        <w:rPr>
          <w:rFonts w:ascii="Arial" w:hAnsi="Arial" w:cs="Arial"/>
          <w:sz w:val="24"/>
          <w:szCs w:val="24"/>
          <w:u w:val="single"/>
          <w:lang w:val="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bookmarkStart w:id="0" w:name="_Hlk132296415"/>
      <w:bookmarkStart w:id="1" w:name="_Hlk141433201"/>
      <w:r w:rsidR="00A7767A" w:rsidRPr="00A7767A">
        <w:rPr>
          <w:rFonts w:ascii="Arial" w:hAnsi="Arial" w:cs="Arial"/>
          <w:sz w:val="24"/>
          <w:szCs w:val="24"/>
          <w:u w:val="single"/>
          <w:lang w:val="lt-LT"/>
        </w:rPr>
        <w:t>kitos paskirties (naudojimo būdas“ vienbučių ir dvibučių gyvenamųjų namų statybos teritorijos) žemės sklype kad. Nr. 5525/0006:156 Vėžaičių g. 14, Stirbių kaime</w:t>
      </w:r>
    </w:p>
    <w:bookmarkEnd w:id="0"/>
    <w:bookmarkEnd w:id="1"/>
    <w:p w14:paraId="744CE7FE" w14:textId="10B7D5E4" w:rsidR="00E122C9" w:rsidRPr="0085099B" w:rsidRDefault="00E122C9" w:rsidP="00042206">
      <w:pPr>
        <w:shd w:val="clear" w:color="auto" w:fill="FFFFFF"/>
        <w:spacing w:after="0" w:line="240" w:lineRule="auto"/>
        <w:jc w:val="center"/>
        <w:textAlignment w:val="baseline"/>
        <w:rPr>
          <w:rFonts w:ascii="Arial" w:hAnsi="Arial" w:cs="Arial"/>
          <w:sz w:val="24"/>
          <w:szCs w:val="24"/>
          <w:lang w:val="lt-LT" w:eastAsia="lt-LT"/>
        </w:rPr>
      </w:pPr>
      <w:r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p w14:paraId="31E07F1B" w14:textId="77777777" w:rsidR="00842629" w:rsidRPr="00842629" w:rsidRDefault="00842629" w:rsidP="00842629">
      <w:pPr>
        <w:shd w:val="clear" w:color="auto" w:fill="FFFFFF"/>
        <w:spacing w:after="0" w:line="240" w:lineRule="auto"/>
        <w:jc w:val="both"/>
        <w:textAlignment w:val="baseline"/>
        <w:rPr>
          <w:rFonts w:ascii="Arial" w:hAnsi="Arial" w:cs="Arial"/>
          <w:sz w:val="24"/>
          <w:szCs w:val="24"/>
          <w:u w:val="single"/>
          <w:lang w:val="lt-LT"/>
        </w:rPr>
      </w:pPr>
    </w:p>
    <w:tbl>
      <w:tblPr>
        <w:tblStyle w:val="Lentelstinklelis"/>
        <w:tblW w:w="0" w:type="auto"/>
        <w:tblLook w:val="04A0" w:firstRow="1" w:lastRow="0" w:firstColumn="1" w:lastColumn="0" w:noHBand="0" w:noVBand="1"/>
      </w:tblPr>
      <w:tblGrid>
        <w:gridCol w:w="643"/>
        <w:gridCol w:w="1989"/>
        <w:gridCol w:w="1501"/>
        <w:gridCol w:w="3878"/>
        <w:gridCol w:w="1617"/>
      </w:tblGrid>
      <w:tr w:rsidR="00A7767A" w:rsidRPr="00D0317F" w14:paraId="11FE01C2" w14:textId="77777777" w:rsidTr="00502A9C">
        <w:tc>
          <w:tcPr>
            <w:tcW w:w="9962" w:type="dxa"/>
            <w:gridSpan w:val="5"/>
          </w:tcPr>
          <w:p w14:paraId="631E06F6" w14:textId="77777777" w:rsidR="00A7767A" w:rsidRPr="00420674" w:rsidRDefault="00A7767A" w:rsidP="00502A9C">
            <w:pPr>
              <w:shd w:val="clear" w:color="auto" w:fill="FFFFFF"/>
              <w:jc w:val="both"/>
              <w:textAlignment w:val="baseline"/>
              <w:rPr>
                <w:rFonts w:ascii="Arial" w:hAnsi="Arial" w:cs="Arial"/>
                <w:sz w:val="24"/>
                <w:szCs w:val="24"/>
              </w:rPr>
            </w:pPr>
            <w:bookmarkStart w:id="2" w:name="_Hlk132296437"/>
            <w:bookmarkStart w:id="3" w:name="_Hlk141433227"/>
            <w:bookmarkStart w:id="4" w:name="_Hlk187327639"/>
            <w:r w:rsidRPr="00420674">
              <w:rPr>
                <w:rFonts w:ascii="Arial" w:hAnsi="Arial" w:cs="Arial"/>
                <w:sz w:val="24"/>
                <w:szCs w:val="24"/>
              </w:rPr>
              <w:t>Sklype –</w:t>
            </w:r>
            <w:r>
              <w:rPr>
                <w:rFonts w:ascii="Arial" w:hAnsi="Arial" w:cs="Arial"/>
                <w:sz w:val="24"/>
                <w:szCs w:val="24"/>
              </w:rPr>
              <w:t xml:space="preserve"> Vėžaičių</w:t>
            </w:r>
            <w:r w:rsidRPr="006B6CF1">
              <w:rPr>
                <w:rFonts w:ascii="Arial" w:hAnsi="Arial" w:cs="Arial"/>
                <w:sz w:val="24"/>
                <w:szCs w:val="24"/>
              </w:rPr>
              <w:t xml:space="preserve"> seniūnijoje, </w:t>
            </w:r>
            <w:r w:rsidRPr="009D417F">
              <w:rPr>
                <w:rFonts w:ascii="Arial" w:hAnsi="Arial" w:cs="Arial"/>
                <w:sz w:val="24"/>
                <w:szCs w:val="24"/>
                <w:lang w:val="lt"/>
              </w:rPr>
              <w:t>Vėžaičių g. 14, Stirbių kaime</w:t>
            </w:r>
            <w:r>
              <w:rPr>
                <w:rFonts w:ascii="Arial" w:hAnsi="Arial" w:cs="Arial"/>
                <w:sz w:val="24"/>
                <w:szCs w:val="24"/>
                <w:lang w:val="lt"/>
              </w:rPr>
              <w:t xml:space="preserve">. </w:t>
            </w:r>
          </w:p>
        </w:tc>
      </w:tr>
      <w:tr w:rsidR="00A7767A" w:rsidRPr="00D0317F" w14:paraId="36447545" w14:textId="77777777" w:rsidTr="00502A9C">
        <w:tc>
          <w:tcPr>
            <w:tcW w:w="655" w:type="dxa"/>
          </w:tcPr>
          <w:p w14:paraId="589622A7"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t>Nr.</w:t>
            </w:r>
          </w:p>
        </w:tc>
        <w:tc>
          <w:tcPr>
            <w:tcW w:w="2044" w:type="dxa"/>
          </w:tcPr>
          <w:p w14:paraId="12BC3CD5"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Želdinio rūšis</w:t>
            </w:r>
          </w:p>
        </w:tc>
        <w:tc>
          <w:tcPr>
            <w:tcW w:w="1522" w:type="dxa"/>
          </w:tcPr>
          <w:p w14:paraId="5A767AE3"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Skersmuo 1,30 m</w:t>
            </w:r>
          </w:p>
        </w:tc>
        <w:tc>
          <w:tcPr>
            <w:tcW w:w="4102" w:type="dxa"/>
          </w:tcPr>
          <w:p w14:paraId="0E55498F"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Būklė</w:t>
            </w:r>
          </w:p>
        </w:tc>
        <w:tc>
          <w:tcPr>
            <w:tcW w:w="1639" w:type="dxa"/>
          </w:tcPr>
          <w:p w14:paraId="78F3A66C"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Atkuriamoji vertė €</w:t>
            </w:r>
          </w:p>
        </w:tc>
      </w:tr>
      <w:tr w:rsidR="00A7767A" w:rsidRPr="00D0317F" w14:paraId="39335D4F" w14:textId="77777777" w:rsidTr="00502A9C">
        <w:trPr>
          <w:trHeight w:val="873"/>
        </w:trPr>
        <w:tc>
          <w:tcPr>
            <w:tcW w:w="655" w:type="dxa"/>
          </w:tcPr>
          <w:p w14:paraId="7B53B19A"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t xml:space="preserve">1. </w:t>
            </w:r>
          </w:p>
        </w:tc>
        <w:tc>
          <w:tcPr>
            <w:tcW w:w="2044" w:type="dxa"/>
          </w:tcPr>
          <w:p w14:paraId="54D16378"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Paprastasis uosis</w:t>
            </w:r>
          </w:p>
        </w:tc>
        <w:tc>
          <w:tcPr>
            <w:tcW w:w="1522" w:type="dxa"/>
          </w:tcPr>
          <w:p w14:paraId="7FE1DC9D"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35</w:t>
            </w:r>
          </w:p>
        </w:tc>
        <w:tc>
          <w:tcPr>
            <w:tcW w:w="4102" w:type="dxa"/>
          </w:tcPr>
          <w:p w14:paraId="16D97411" w14:textId="77777777" w:rsidR="00A7767A" w:rsidRPr="00A0686C" w:rsidRDefault="00A7767A" w:rsidP="00502A9C">
            <w:pPr>
              <w:suppressAutoHyphens/>
              <w:jc w:val="both"/>
              <w:rPr>
                <w:rFonts w:ascii="Arial" w:hAnsi="Arial" w:cs="Arial"/>
                <w:sz w:val="24"/>
                <w:szCs w:val="24"/>
              </w:rPr>
            </w:pPr>
            <w:r w:rsidRPr="00A0686C">
              <w:rPr>
                <w:rFonts w:ascii="Arial" w:hAnsi="Arial" w:cs="Arial"/>
                <w:sz w:val="24"/>
                <w:szCs w:val="24"/>
              </w:rPr>
              <w:t xml:space="preserve">Būklė – bloga. Medis vertingas estetine ir ekologine prasme. Medis formuoja teritorijos apželdinimą. Tačiau medis pažeistas šaknyno puvinio, pavojingas augti gyvenamosios teritorijos aplinkoje. Išduodamas leidimas. </w:t>
            </w:r>
          </w:p>
        </w:tc>
        <w:tc>
          <w:tcPr>
            <w:tcW w:w="1639" w:type="dxa"/>
          </w:tcPr>
          <w:p w14:paraId="2F465B90"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0</w:t>
            </w:r>
          </w:p>
        </w:tc>
      </w:tr>
      <w:tr w:rsidR="00A7767A" w:rsidRPr="00D0317F" w14:paraId="19CAEBD9" w14:textId="77777777" w:rsidTr="00502A9C">
        <w:trPr>
          <w:trHeight w:val="873"/>
        </w:trPr>
        <w:tc>
          <w:tcPr>
            <w:tcW w:w="655" w:type="dxa"/>
          </w:tcPr>
          <w:p w14:paraId="028F69CF"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t xml:space="preserve">2. </w:t>
            </w:r>
          </w:p>
        </w:tc>
        <w:tc>
          <w:tcPr>
            <w:tcW w:w="2044" w:type="dxa"/>
          </w:tcPr>
          <w:p w14:paraId="52DACFF6"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Paprastasis uosis</w:t>
            </w:r>
          </w:p>
        </w:tc>
        <w:tc>
          <w:tcPr>
            <w:tcW w:w="1522" w:type="dxa"/>
          </w:tcPr>
          <w:p w14:paraId="2F68FF31"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34</w:t>
            </w:r>
          </w:p>
        </w:tc>
        <w:tc>
          <w:tcPr>
            <w:tcW w:w="4102" w:type="dxa"/>
          </w:tcPr>
          <w:p w14:paraId="6A12B7B7" w14:textId="77777777" w:rsidR="00A7767A" w:rsidRPr="00A0686C" w:rsidRDefault="00A7767A" w:rsidP="00502A9C">
            <w:pPr>
              <w:suppressAutoHyphens/>
              <w:jc w:val="both"/>
              <w:rPr>
                <w:rFonts w:ascii="Arial" w:hAnsi="Arial" w:cs="Arial"/>
                <w:sz w:val="24"/>
                <w:szCs w:val="24"/>
              </w:rPr>
            </w:pPr>
            <w:r w:rsidRPr="00A0686C">
              <w:rPr>
                <w:rFonts w:ascii="Arial" w:hAnsi="Arial" w:cs="Arial"/>
                <w:sz w:val="24"/>
                <w:szCs w:val="24"/>
              </w:rPr>
              <w:t>Būklė – bloga. Medis vertingas estetine ir ekologine prasme. Medis formuoja teritorijos apželdinimą. Tačiau medis pažeistas centrinio kamieno puvinio, pavojingas augti gyvenamosios teritorijos aplinkoje. Išduodamas leidimas.</w:t>
            </w:r>
          </w:p>
        </w:tc>
        <w:tc>
          <w:tcPr>
            <w:tcW w:w="1639" w:type="dxa"/>
          </w:tcPr>
          <w:p w14:paraId="6B1EDB2B"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0</w:t>
            </w:r>
          </w:p>
        </w:tc>
      </w:tr>
      <w:tr w:rsidR="00A7767A" w:rsidRPr="00D0317F" w14:paraId="5CA4A495" w14:textId="77777777" w:rsidTr="00502A9C">
        <w:trPr>
          <w:trHeight w:val="873"/>
        </w:trPr>
        <w:tc>
          <w:tcPr>
            <w:tcW w:w="655" w:type="dxa"/>
          </w:tcPr>
          <w:p w14:paraId="18C6949D"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t xml:space="preserve">3. </w:t>
            </w:r>
          </w:p>
        </w:tc>
        <w:tc>
          <w:tcPr>
            <w:tcW w:w="2044" w:type="dxa"/>
          </w:tcPr>
          <w:p w14:paraId="15400808"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Paprastasis uosis</w:t>
            </w:r>
          </w:p>
        </w:tc>
        <w:tc>
          <w:tcPr>
            <w:tcW w:w="1522" w:type="dxa"/>
          </w:tcPr>
          <w:p w14:paraId="5480C8D6"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34</w:t>
            </w:r>
          </w:p>
        </w:tc>
        <w:tc>
          <w:tcPr>
            <w:tcW w:w="4102" w:type="dxa"/>
          </w:tcPr>
          <w:p w14:paraId="6BA5A0D7" w14:textId="77777777" w:rsidR="00A7767A" w:rsidRPr="00A0686C" w:rsidRDefault="00A7767A" w:rsidP="00502A9C">
            <w:pPr>
              <w:suppressAutoHyphens/>
              <w:jc w:val="both"/>
              <w:rPr>
                <w:rFonts w:ascii="Arial" w:hAnsi="Arial" w:cs="Arial"/>
                <w:sz w:val="24"/>
                <w:szCs w:val="24"/>
              </w:rPr>
            </w:pPr>
            <w:r w:rsidRPr="00A0686C">
              <w:rPr>
                <w:rFonts w:ascii="Arial" w:hAnsi="Arial" w:cs="Arial"/>
                <w:sz w:val="24"/>
                <w:szCs w:val="24"/>
              </w:rPr>
              <w:t>Būklė – bloga. Medis vertingas estetine ir ekologine prasme. Medis formuoja teritorijos apželdinimą. Tačiau medis pažeistas centrinio kamieno puvinio, pavojingas augti gyvenamosios teritorijos aplinkoje. Išduodamas leidimas.</w:t>
            </w:r>
          </w:p>
        </w:tc>
        <w:tc>
          <w:tcPr>
            <w:tcW w:w="1639" w:type="dxa"/>
          </w:tcPr>
          <w:p w14:paraId="4C1855E9"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0</w:t>
            </w:r>
          </w:p>
        </w:tc>
      </w:tr>
      <w:tr w:rsidR="00A7767A" w:rsidRPr="00D0317F" w14:paraId="02CEEF81" w14:textId="77777777" w:rsidTr="00502A9C">
        <w:trPr>
          <w:trHeight w:val="873"/>
        </w:trPr>
        <w:tc>
          <w:tcPr>
            <w:tcW w:w="655" w:type="dxa"/>
          </w:tcPr>
          <w:p w14:paraId="334AD946"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lastRenderedPageBreak/>
              <w:t xml:space="preserve">4. </w:t>
            </w:r>
          </w:p>
        </w:tc>
        <w:tc>
          <w:tcPr>
            <w:tcW w:w="2044" w:type="dxa"/>
          </w:tcPr>
          <w:p w14:paraId="597E108B"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Karpotasis beržas</w:t>
            </w:r>
          </w:p>
        </w:tc>
        <w:tc>
          <w:tcPr>
            <w:tcW w:w="1522" w:type="dxa"/>
          </w:tcPr>
          <w:p w14:paraId="544D9497"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59</w:t>
            </w:r>
          </w:p>
        </w:tc>
        <w:tc>
          <w:tcPr>
            <w:tcW w:w="4102" w:type="dxa"/>
          </w:tcPr>
          <w:p w14:paraId="3F4A3481" w14:textId="77777777" w:rsidR="00A7767A" w:rsidRPr="00A0686C" w:rsidRDefault="00A7767A" w:rsidP="00502A9C">
            <w:pPr>
              <w:suppressAutoHyphens/>
              <w:jc w:val="both"/>
              <w:rPr>
                <w:rFonts w:ascii="Arial" w:hAnsi="Arial" w:cs="Arial"/>
                <w:sz w:val="24"/>
                <w:szCs w:val="24"/>
              </w:rPr>
            </w:pPr>
            <w:r w:rsidRPr="00A0686C">
              <w:rPr>
                <w:rFonts w:ascii="Arial" w:hAnsi="Arial" w:cs="Arial"/>
                <w:sz w:val="24"/>
                <w:szCs w:val="24"/>
              </w:rPr>
              <w:t>Būklė – gera. Medis vertingas estetine ir ekologine prasme. Medis formuoja teritorijos apželdinimą. Tačiau medis neišlaiko atstumų nuo pastato (daržinės, augimvietės atstumas iki 50 cm, gadina pastato pamatus, medžio laja gadina stogo dangą) Išduodamas leidimas.</w:t>
            </w:r>
          </w:p>
        </w:tc>
        <w:tc>
          <w:tcPr>
            <w:tcW w:w="1639" w:type="dxa"/>
          </w:tcPr>
          <w:p w14:paraId="1CCD15ED"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0</w:t>
            </w:r>
          </w:p>
        </w:tc>
      </w:tr>
      <w:tr w:rsidR="00A7767A" w:rsidRPr="00D0317F" w14:paraId="3DAE7C1D" w14:textId="77777777" w:rsidTr="00502A9C">
        <w:trPr>
          <w:trHeight w:val="873"/>
        </w:trPr>
        <w:tc>
          <w:tcPr>
            <w:tcW w:w="655" w:type="dxa"/>
          </w:tcPr>
          <w:p w14:paraId="57C6E980" w14:textId="77777777" w:rsidR="00A7767A" w:rsidRPr="00A0686C" w:rsidRDefault="00A7767A" w:rsidP="00502A9C">
            <w:pPr>
              <w:jc w:val="both"/>
              <w:rPr>
                <w:rFonts w:ascii="Arial" w:hAnsi="Arial" w:cs="Arial"/>
                <w:sz w:val="24"/>
                <w:szCs w:val="24"/>
                <w:lang w:val="lt"/>
              </w:rPr>
            </w:pPr>
            <w:r w:rsidRPr="00A0686C">
              <w:rPr>
                <w:rFonts w:ascii="Arial" w:hAnsi="Arial" w:cs="Arial"/>
                <w:sz w:val="24"/>
                <w:szCs w:val="24"/>
                <w:lang w:val="lt"/>
              </w:rPr>
              <w:t xml:space="preserve">5. </w:t>
            </w:r>
          </w:p>
        </w:tc>
        <w:tc>
          <w:tcPr>
            <w:tcW w:w="2044" w:type="dxa"/>
          </w:tcPr>
          <w:p w14:paraId="04F8B1D7"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Paprastasis ąžuolas</w:t>
            </w:r>
          </w:p>
        </w:tc>
        <w:tc>
          <w:tcPr>
            <w:tcW w:w="1522" w:type="dxa"/>
          </w:tcPr>
          <w:p w14:paraId="53CB4385"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38</w:t>
            </w:r>
          </w:p>
        </w:tc>
        <w:tc>
          <w:tcPr>
            <w:tcW w:w="4102" w:type="dxa"/>
          </w:tcPr>
          <w:p w14:paraId="37EA2AEC" w14:textId="77777777" w:rsidR="00A7767A" w:rsidRPr="00A0686C" w:rsidRDefault="00A7767A" w:rsidP="00502A9C">
            <w:pPr>
              <w:suppressAutoHyphens/>
              <w:jc w:val="both"/>
              <w:rPr>
                <w:rFonts w:ascii="Arial" w:hAnsi="Arial" w:cs="Arial"/>
                <w:sz w:val="24"/>
                <w:szCs w:val="24"/>
              </w:rPr>
            </w:pPr>
            <w:r w:rsidRPr="00A0686C">
              <w:rPr>
                <w:rFonts w:ascii="Arial" w:hAnsi="Arial" w:cs="Arial"/>
                <w:sz w:val="24"/>
                <w:szCs w:val="24"/>
              </w:rPr>
              <w:t>Būklė – gera. Medis vertingas estetine ir ekologine prasme. Medis formuoja teritorijos apželdinimą. Tačiau medis neišlaiko atstumų nuo pastato (daržinės, augimvietės atstumas iki 20 cm, gadina pastato pamatus, medžio laja gadina stogo dangą) Išduodamas leidimas.</w:t>
            </w:r>
          </w:p>
        </w:tc>
        <w:tc>
          <w:tcPr>
            <w:tcW w:w="1639" w:type="dxa"/>
          </w:tcPr>
          <w:p w14:paraId="2D7D5EE6" w14:textId="77777777" w:rsidR="00A7767A" w:rsidRPr="00A0686C" w:rsidRDefault="00A7767A" w:rsidP="00502A9C">
            <w:pPr>
              <w:jc w:val="center"/>
              <w:rPr>
                <w:rFonts w:ascii="Arial" w:hAnsi="Arial" w:cs="Arial"/>
                <w:sz w:val="24"/>
                <w:szCs w:val="24"/>
                <w:lang w:val="lt"/>
              </w:rPr>
            </w:pPr>
            <w:r w:rsidRPr="00A0686C">
              <w:rPr>
                <w:rFonts w:ascii="Arial" w:hAnsi="Arial" w:cs="Arial"/>
                <w:sz w:val="24"/>
                <w:szCs w:val="24"/>
                <w:lang w:val="lt"/>
              </w:rPr>
              <w:t>0</w:t>
            </w:r>
          </w:p>
        </w:tc>
      </w:tr>
      <w:tr w:rsidR="00A7767A" w:rsidRPr="00AC407F" w14:paraId="4BE33559" w14:textId="77777777" w:rsidTr="00502A9C">
        <w:trPr>
          <w:trHeight w:val="393"/>
        </w:trPr>
        <w:tc>
          <w:tcPr>
            <w:tcW w:w="9962" w:type="dxa"/>
            <w:gridSpan w:val="5"/>
          </w:tcPr>
          <w:p w14:paraId="42A4EB49" w14:textId="6060EAF1" w:rsidR="00A7767A" w:rsidRPr="00A7767A" w:rsidRDefault="00A7767A" w:rsidP="00502A9C">
            <w:pPr>
              <w:jc w:val="both"/>
              <w:rPr>
                <w:rFonts w:ascii="Arial" w:hAnsi="Arial" w:cs="Arial"/>
                <w:color w:val="000000"/>
                <w:sz w:val="24"/>
                <w:szCs w:val="24"/>
              </w:rPr>
            </w:pPr>
            <w:r w:rsidRPr="00A0686C">
              <w:rPr>
                <w:rFonts w:ascii="Arial" w:hAnsi="Arial" w:cs="Arial"/>
                <w:sz w:val="24"/>
                <w:szCs w:val="24"/>
              </w:rPr>
              <w:t>Atkuriamoji vertė neskaičiuojama,</w:t>
            </w:r>
            <w:r w:rsidRPr="00A0686C">
              <w:rPr>
                <w:rFonts w:ascii="Arial" w:hAnsi="Arial" w:cs="Arial"/>
                <w:color w:val="000000"/>
                <w:sz w:val="24"/>
                <w:szCs w:val="24"/>
              </w:rPr>
              <w:t xml:space="preserve"> </w:t>
            </w:r>
            <w:r w:rsidRPr="00A0686C">
              <w:rPr>
                <w:rFonts w:ascii="Arial" w:hAnsi="Arial" w:cs="Arial"/>
                <w:sz w:val="24"/>
                <w:szCs w:val="24"/>
              </w:rPr>
              <w:t xml:space="preserve">nes vadovaujantis LR želdynų įstatymo 13 straipsnio 3 punkto 3 dalies nuostatomis: </w:t>
            </w:r>
            <w:r w:rsidRPr="00A0686C">
              <w:rPr>
                <w:rFonts w:ascii="Arial" w:hAnsi="Arial" w:cs="Arial"/>
                <w:color w:val="000000"/>
                <w:sz w:val="24"/>
                <w:szCs w:val="24"/>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ir 8 dalies nuo</w:t>
            </w:r>
            <w:r>
              <w:rPr>
                <w:rFonts w:ascii="Arial" w:hAnsi="Arial" w:cs="Arial"/>
                <w:color w:val="000000"/>
                <w:sz w:val="24"/>
                <w:szCs w:val="24"/>
              </w:rPr>
              <w:t>s</w:t>
            </w:r>
            <w:r w:rsidRPr="00A0686C">
              <w:rPr>
                <w:rFonts w:ascii="Arial" w:hAnsi="Arial" w:cs="Arial"/>
                <w:color w:val="000000"/>
                <w:sz w:val="24"/>
                <w:szCs w:val="24"/>
              </w:rPr>
              <w:t>tatomis gadina pastato pamatus ar kitas jo dalis</w:t>
            </w:r>
          </w:p>
        </w:tc>
      </w:tr>
      <w:tr w:rsidR="00A7767A" w:rsidRPr="00D0317F" w14:paraId="40730AD7" w14:textId="77777777" w:rsidTr="00502A9C">
        <w:tc>
          <w:tcPr>
            <w:tcW w:w="8323" w:type="dxa"/>
            <w:gridSpan w:val="4"/>
          </w:tcPr>
          <w:p w14:paraId="66826B66" w14:textId="77777777" w:rsidR="00A7767A" w:rsidRPr="00D0317F" w:rsidRDefault="00A7767A" w:rsidP="00502A9C">
            <w:pPr>
              <w:jc w:val="both"/>
              <w:rPr>
                <w:rFonts w:ascii="Arial" w:hAnsi="Arial" w:cs="Arial"/>
                <w:sz w:val="24"/>
                <w:szCs w:val="24"/>
                <w:lang w:val="lt"/>
              </w:rPr>
            </w:pPr>
            <w:r w:rsidRPr="00D0317F">
              <w:rPr>
                <w:rFonts w:ascii="Arial" w:hAnsi="Arial" w:cs="Arial"/>
                <w:sz w:val="24"/>
                <w:szCs w:val="24"/>
                <w:lang w:val="lt"/>
              </w:rPr>
              <w:t>Iš viso:</w:t>
            </w:r>
          </w:p>
        </w:tc>
        <w:tc>
          <w:tcPr>
            <w:tcW w:w="1639" w:type="dxa"/>
          </w:tcPr>
          <w:p w14:paraId="345F209E" w14:textId="77777777" w:rsidR="00A7767A" w:rsidRPr="00487608" w:rsidRDefault="00A7767A" w:rsidP="00502A9C">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bookmarkEnd w:id="2"/>
      <w:bookmarkEnd w:id="3"/>
      <w:bookmarkEnd w:id="4"/>
    </w:tbl>
    <w:p w14:paraId="0DD6B893" w14:textId="77777777" w:rsidR="00A7767A" w:rsidRDefault="00A7767A" w:rsidP="00A7767A">
      <w:pPr>
        <w:spacing w:after="0" w:line="240" w:lineRule="auto"/>
        <w:rPr>
          <w:rFonts w:ascii="Arial" w:hAnsi="Arial" w:cs="Arial"/>
          <w:sz w:val="20"/>
          <w:szCs w:val="20"/>
          <w:lang w:val="lt-LT" w:eastAsia="lt-LT"/>
        </w:rPr>
      </w:pPr>
    </w:p>
    <w:p w14:paraId="48D89C76" w14:textId="1303A4D2" w:rsidR="00E4009D" w:rsidRPr="0085099B" w:rsidRDefault="00E4009D" w:rsidP="00E4009D">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74EA4A1F"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7E6F92">
        <w:rPr>
          <w:rFonts w:ascii="Arial" w:hAnsi="Arial" w:cs="Arial"/>
          <w:b/>
          <w:bCs/>
          <w:sz w:val="24"/>
          <w:szCs w:val="24"/>
          <w:u w:val="single"/>
          <w:lang w:val="lt-LT" w:eastAsia="lt-LT"/>
        </w:rPr>
        <w:t>1</w:t>
      </w:r>
      <w:r w:rsidR="005E1C5F" w:rsidRPr="0085099B">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161719BB"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A8590F">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011B1F0D" w14:textId="2DB7D04F" w:rsidR="00E4009D"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7E6F92">
        <w:rPr>
          <w:rFonts w:ascii="Arial" w:hAnsi="Arial" w:cs="Arial"/>
          <w:b/>
          <w:bCs/>
          <w:sz w:val="24"/>
          <w:szCs w:val="24"/>
          <w:u w:val="single"/>
          <w:lang w:val="lt-LT" w:eastAsia="lt-LT"/>
        </w:rPr>
        <w:t>5-03-07</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6B23599A" w14:textId="77777777" w:rsidR="00842629" w:rsidRDefault="00842629" w:rsidP="00E4009D">
      <w:pPr>
        <w:spacing w:after="0" w:line="240" w:lineRule="auto"/>
        <w:jc w:val="both"/>
        <w:rPr>
          <w:rFonts w:ascii="Arial" w:hAnsi="Arial" w:cs="Arial"/>
          <w:sz w:val="24"/>
          <w:szCs w:val="24"/>
          <w:lang w:val="lt-LT" w:eastAsia="lt-LT"/>
        </w:rPr>
      </w:pP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1FDC8782" w14:textId="77777777" w:rsidR="005A56CC" w:rsidRDefault="005A56CC" w:rsidP="00EA6FAC">
      <w:pPr>
        <w:tabs>
          <w:tab w:val="left" w:pos="993"/>
        </w:tabs>
        <w:spacing w:after="0" w:line="240" w:lineRule="auto"/>
        <w:jc w:val="both"/>
        <w:rPr>
          <w:rFonts w:ascii="Arial" w:hAnsi="Arial" w:cs="Arial"/>
          <w:b/>
          <w:bCs/>
          <w:sz w:val="16"/>
          <w:szCs w:val="16"/>
          <w:lang w:val="lt-LT" w:eastAsia="lt-LT"/>
        </w:rPr>
      </w:pPr>
    </w:p>
    <w:p w14:paraId="02C29D4A" w14:textId="77777777" w:rsidR="00104758" w:rsidRDefault="00104758" w:rsidP="00EA6FAC">
      <w:pPr>
        <w:tabs>
          <w:tab w:val="left" w:pos="993"/>
        </w:tabs>
        <w:spacing w:after="0" w:line="240" w:lineRule="auto"/>
        <w:jc w:val="both"/>
        <w:rPr>
          <w:rFonts w:ascii="Arial" w:hAnsi="Arial" w:cs="Arial"/>
          <w:b/>
          <w:bCs/>
          <w:sz w:val="16"/>
          <w:szCs w:val="16"/>
          <w:lang w:val="lt-LT" w:eastAsia="lt-LT"/>
        </w:rPr>
      </w:pPr>
    </w:p>
    <w:p w14:paraId="556986D9" w14:textId="77777777" w:rsidR="00A7767A" w:rsidRPr="0085099B" w:rsidRDefault="00A7767A" w:rsidP="00EA6FAC">
      <w:pPr>
        <w:tabs>
          <w:tab w:val="left" w:pos="993"/>
        </w:tabs>
        <w:spacing w:after="0" w:line="240" w:lineRule="auto"/>
        <w:jc w:val="both"/>
        <w:rPr>
          <w:rFonts w:ascii="Arial" w:hAnsi="Arial" w:cs="Arial"/>
          <w:b/>
          <w:bCs/>
          <w:sz w:val="16"/>
          <w:szCs w:val="16"/>
          <w:lang w:val="lt-LT" w:eastAsia="lt-LT"/>
        </w:rPr>
      </w:pPr>
    </w:p>
    <w:p w14:paraId="1BDADFB2" w14:textId="2A49A927" w:rsidR="00A7767A" w:rsidRPr="00A7767A" w:rsidRDefault="00A7767A" w:rsidP="00A7767A">
      <w:pPr>
        <w:spacing w:after="0" w:line="240" w:lineRule="auto"/>
        <w:rPr>
          <w:rFonts w:ascii="Arial" w:hAnsi="Arial" w:cs="Arial"/>
          <w:sz w:val="24"/>
          <w:szCs w:val="24"/>
          <w:lang w:val="lt-LT"/>
        </w:rPr>
      </w:pPr>
      <w:r w:rsidRPr="00A7767A">
        <w:rPr>
          <w:rFonts w:ascii="Arial" w:hAnsi="Arial" w:cs="Arial"/>
          <w:sz w:val="24"/>
          <w:szCs w:val="24"/>
          <w:lang w:val="lt-LT"/>
        </w:rPr>
        <w:t xml:space="preserve">Savivaldybės vicemeras,                                                                            </w:t>
      </w:r>
    </w:p>
    <w:p w14:paraId="5D32D84E" w14:textId="57326279" w:rsidR="00A02DFC" w:rsidRPr="0085099B" w:rsidRDefault="00A7767A" w:rsidP="00A7767A">
      <w:pPr>
        <w:spacing w:after="0" w:line="240" w:lineRule="auto"/>
        <w:rPr>
          <w:rFonts w:ascii="Arial" w:hAnsi="Arial" w:cs="Arial"/>
          <w:sz w:val="24"/>
          <w:szCs w:val="24"/>
          <w:lang w:val="lt-LT"/>
        </w:rPr>
      </w:pPr>
      <w:r w:rsidRPr="00A7767A">
        <w:rPr>
          <w:rFonts w:ascii="Arial" w:hAnsi="Arial" w:cs="Arial"/>
          <w:sz w:val="24"/>
          <w:szCs w:val="24"/>
          <w:lang w:val="lt-LT"/>
        </w:rPr>
        <w:t xml:space="preserve">pavaduojantis Savivaldybės merą                          </w:t>
      </w:r>
      <w:r>
        <w:rPr>
          <w:rFonts w:ascii="Arial" w:hAnsi="Arial" w:cs="Arial"/>
          <w:sz w:val="24"/>
          <w:szCs w:val="24"/>
          <w:lang w:val="lt-LT"/>
        </w:rPr>
        <w:t xml:space="preserve">  </w:t>
      </w:r>
      <w:r>
        <w:rPr>
          <w:rFonts w:ascii="Arial" w:hAnsi="Arial" w:cs="Arial"/>
          <w:sz w:val="24"/>
          <w:szCs w:val="24"/>
          <w:lang w:val="lt-LT"/>
        </w:rPr>
        <w:tab/>
      </w:r>
      <w:r w:rsidRPr="00A7767A">
        <w:rPr>
          <w:rFonts w:ascii="Arial" w:hAnsi="Arial" w:cs="Arial"/>
          <w:sz w:val="24"/>
          <w:szCs w:val="24"/>
          <w:lang w:val="lt-LT"/>
        </w:rPr>
        <w:t xml:space="preserve">   Vytautas Butkus     </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5FB1"/>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40A7A"/>
    <w:rsid w:val="003637F8"/>
    <w:rsid w:val="00364AA9"/>
    <w:rsid w:val="003712A2"/>
    <w:rsid w:val="00372BA6"/>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549A2"/>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45D7"/>
    <w:rsid w:val="007E6F92"/>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E0EC5"/>
    <w:rsid w:val="008E4371"/>
    <w:rsid w:val="008E4E53"/>
    <w:rsid w:val="00901D2C"/>
    <w:rsid w:val="00906AEF"/>
    <w:rsid w:val="00912493"/>
    <w:rsid w:val="009154B9"/>
    <w:rsid w:val="00921DB6"/>
    <w:rsid w:val="009266B9"/>
    <w:rsid w:val="009307A3"/>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7767A"/>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2597</Words>
  <Characters>1481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5</cp:revision>
  <cp:lastPrinted>2024-02-19T14:48:00Z</cp:lastPrinted>
  <dcterms:created xsi:type="dcterms:W3CDTF">2024-08-12T13:31:00Z</dcterms:created>
  <dcterms:modified xsi:type="dcterms:W3CDTF">2025-02-21T11:39:00Z</dcterms:modified>
</cp:coreProperties>
</file>