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5E4EBF3F"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5-03-03</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F378C9">
        <w:rPr>
          <w:rFonts w:ascii="Arial" w:hAnsi="Arial" w:cs="Arial"/>
          <w:sz w:val="24"/>
          <w:szCs w:val="24"/>
          <w:u w:val="single"/>
          <w:lang w:val="lt-LT" w:eastAsia="lt-LT"/>
        </w:rPr>
        <w:t>20</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72F7EF80"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F378C9">
        <w:rPr>
          <w:rFonts w:ascii="Arial" w:hAnsi="Arial" w:cs="Arial"/>
          <w:sz w:val="24"/>
          <w:szCs w:val="24"/>
          <w:u w:val="single"/>
          <w:lang w:val="lt-LT" w:eastAsia="lt-LT"/>
        </w:rPr>
        <w:t>UAB „Kuršių marių respublika“</w:t>
      </w:r>
      <w:r w:rsidR="000C6584" w:rsidRPr="0054119A">
        <w:rPr>
          <w:rFonts w:ascii="Arial" w:hAnsi="Arial" w:cs="Arial"/>
          <w:sz w:val="24"/>
          <w:szCs w:val="24"/>
          <w:u w:val="single"/>
          <w:lang w:val="lt-LT" w:eastAsia="lt-LT"/>
        </w:rPr>
        <w:t xml:space="preserve"> (prašymas </w:t>
      </w:r>
      <w:r w:rsidR="000F620F">
        <w:rPr>
          <w:rFonts w:ascii="Arial" w:hAnsi="Arial" w:cs="Arial"/>
          <w:sz w:val="24"/>
          <w:szCs w:val="24"/>
          <w:u w:val="single"/>
          <w:lang w:val="lt-LT" w:eastAsia="lt-LT"/>
        </w:rPr>
        <w:t>A4</w:t>
      </w:r>
      <w:r w:rsidR="00F378C9">
        <w:rPr>
          <w:rFonts w:ascii="Arial" w:hAnsi="Arial" w:cs="Arial"/>
          <w:sz w:val="24"/>
          <w:szCs w:val="24"/>
          <w:u w:val="single"/>
          <w:lang w:val="lt-LT" w:eastAsia="lt-LT"/>
        </w:rPr>
        <w:t>-252</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44CE7FE" w14:textId="0DB3D88D" w:rsidR="00E122C9" w:rsidRPr="0054119A"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F378C9" w:rsidRPr="00F378C9">
        <w:rPr>
          <w:rFonts w:ascii="Arial" w:hAnsi="Arial" w:cs="Arial"/>
          <w:sz w:val="24"/>
          <w:szCs w:val="24"/>
          <w:u w:val="single"/>
          <w:lang w:val="lt-LT"/>
        </w:rPr>
        <w:t xml:space="preserve">kitos paskirties (naudojimo būdas nenustatytas) žemės sklype kad. Nr. 5515/0001:50 Dzūkų g. 1, Drevernos </w:t>
      </w:r>
      <w:r w:rsidR="00F378C9">
        <w:rPr>
          <w:rFonts w:ascii="Arial" w:hAnsi="Arial" w:cs="Arial"/>
          <w:sz w:val="24"/>
          <w:szCs w:val="24"/>
          <w:u w:val="single"/>
          <w:lang w:val="lt-LT"/>
        </w:rPr>
        <w:t>k., Priekulės sen.</w:t>
      </w:r>
      <w:r w:rsidR="00F378C9" w:rsidRPr="00F378C9">
        <w:rPr>
          <w:rFonts w:ascii="Arial" w:hAnsi="Arial" w:cs="Arial"/>
          <w:sz w:val="24"/>
          <w:szCs w:val="24"/>
          <w:u w:val="single"/>
          <w:lang w:val="lt-LT"/>
        </w:rPr>
        <w:t xml:space="preserv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2005"/>
        <w:gridCol w:w="1501"/>
        <w:gridCol w:w="3862"/>
        <w:gridCol w:w="1617"/>
      </w:tblGrid>
      <w:tr w:rsidR="00F378C9" w:rsidRPr="00F378C9" w14:paraId="45D4C55A" w14:textId="77777777" w:rsidTr="000B70D1">
        <w:tc>
          <w:tcPr>
            <w:tcW w:w="9962" w:type="dxa"/>
            <w:gridSpan w:val="5"/>
          </w:tcPr>
          <w:p w14:paraId="47E8B782" w14:textId="77777777" w:rsidR="00F378C9" w:rsidRPr="00F378C9" w:rsidRDefault="00F378C9" w:rsidP="00F378C9">
            <w:pPr>
              <w:shd w:val="clear" w:color="auto" w:fill="FFFFFF"/>
              <w:spacing w:after="0" w:line="240" w:lineRule="auto"/>
              <w:jc w:val="both"/>
              <w:textAlignment w:val="baseline"/>
              <w:rPr>
                <w:rFonts w:ascii="Arial" w:hAnsi="Arial" w:cs="Arial"/>
                <w:sz w:val="24"/>
                <w:szCs w:val="24"/>
                <w:lang w:val="lt-LT" w:bidi="ar-SA"/>
              </w:rPr>
            </w:pPr>
            <w:bookmarkStart w:id="0" w:name="_Hlk132296437"/>
            <w:bookmarkStart w:id="1" w:name="_Hlk141433227"/>
            <w:bookmarkStart w:id="2" w:name="_Hlk187327639"/>
            <w:r w:rsidRPr="00F378C9">
              <w:rPr>
                <w:rFonts w:ascii="Arial" w:hAnsi="Arial" w:cs="Arial"/>
                <w:sz w:val="24"/>
                <w:szCs w:val="24"/>
                <w:lang w:val="lt-LT" w:bidi="ar-SA"/>
              </w:rPr>
              <w:t>Sklype – Priekulės seniūnijoje, Dzūkų</w:t>
            </w:r>
            <w:r w:rsidRPr="00F378C9">
              <w:rPr>
                <w:rFonts w:ascii="Arial" w:hAnsi="Arial" w:cs="Arial"/>
                <w:sz w:val="24"/>
                <w:szCs w:val="24"/>
                <w:lang w:val="lt" w:bidi="ar-SA"/>
              </w:rPr>
              <w:t xml:space="preserve"> g. 1, Drevernos kaimas. </w:t>
            </w:r>
          </w:p>
        </w:tc>
      </w:tr>
      <w:tr w:rsidR="00F378C9" w:rsidRPr="00F378C9" w14:paraId="4AE6D3D1" w14:textId="77777777" w:rsidTr="000B70D1">
        <w:tc>
          <w:tcPr>
            <w:tcW w:w="655" w:type="dxa"/>
          </w:tcPr>
          <w:p w14:paraId="0EA3E058" w14:textId="77777777" w:rsidR="00F378C9" w:rsidRPr="00F378C9" w:rsidRDefault="00F378C9" w:rsidP="00F378C9">
            <w:pPr>
              <w:spacing w:after="0" w:line="240" w:lineRule="auto"/>
              <w:jc w:val="both"/>
              <w:rPr>
                <w:rFonts w:ascii="Arial" w:hAnsi="Arial" w:cs="Arial"/>
                <w:sz w:val="24"/>
                <w:szCs w:val="24"/>
                <w:lang w:val="lt" w:bidi="ar-SA"/>
              </w:rPr>
            </w:pPr>
            <w:r w:rsidRPr="00F378C9">
              <w:rPr>
                <w:rFonts w:ascii="Arial" w:hAnsi="Arial" w:cs="Arial"/>
                <w:sz w:val="24"/>
                <w:szCs w:val="24"/>
                <w:lang w:val="lt" w:bidi="ar-SA"/>
              </w:rPr>
              <w:t>Nr.</w:t>
            </w:r>
          </w:p>
        </w:tc>
        <w:tc>
          <w:tcPr>
            <w:tcW w:w="2044" w:type="dxa"/>
          </w:tcPr>
          <w:p w14:paraId="3FE250DB"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Želdinio rūšis</w:t>
            </w:r>
          </w:p>
        </w:tc>
        <w:tc>
          <w:tcPr>
            <w:tcW w:w="1522" w:type="dxa"/>
          </w:tcPr>
          <w:p w14:paraId="6844C6EF"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Skersmuo 1,30 m</w:t>
            </w:r>
          </w:p>
        </w:tc>
        <w:tc>
          <w:tcPr>
            <w:tcW w:w="4102" w:type="dxa"/>
          </w:tcPr>
          <w:p w14:paraId="3190B5D0"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Būklė</w:t>
            </w:r>
          </w:p>
        </w:tc>
        <w:tc>
          <w:tcPr>
            <w:tcW w:w="1639" w:type="dxa"/>
          </w:tcPr>
          <w:p w14:paraId="179BB120"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Atkuriamoji vertė €</w:t>
            </w:r>
          </w:p>
        </w:tc>
      </w:tr>
      <w:tr w:rsidR="00F378C9" w:rsidRPr="00F378C9" w14:paraId="490D66B2" w14:textId="77777777" w:rsidTr="000B70D1">
        <w:trPr>
          <w:trHeight w:val="873"/>
        </w:trPr>
        <w:tc>
          <w:tcPr>
            <w:tcW w:w="655" w:type="dxa"/>
          </w:tcPr>
          <w:p w14:paraId="1458E5CD" w14:textId="77777777" w:rsidR="00F378C9" w:rsidRPr="00F378C9" w:rsidRDefault="00F378C9" w:rsidP="00F378C9">
            <w:pPr>
              <w:spacing w:after="0" w:line="240" w:lineRule="auto"/>
              <w:jc w:val="both"/>
              <w:rPr>
                <w:rFonts w:ascii="Arial" w:hAnsi="Arial" w:cs="Arial"/>
                <w:sz w:val="24"/>
                <w:szCs w:val="24"/>
                <w:lang w:val="lt" w:bidi="ar-SA"/>
              </w:rPr>
            </w:pPr>
            <w:r w:rsidRPr="00F378C9">
              <w:rPr>
                <w:rFonts w:ascii="Arial" w:hAnsi="Arial" w:cs="Arial"/>
                <w:sz w:val="24"/>
                <w:szCs w:val="24"/>
                <w:lang w:val="lt" w:bidi="ar-SA"/>
              </w:rPr>
              <w:t xml:space="preserve">1. </w:t>
            </w:r>
          </w:p>
        </w:tc>
        <w:tc>
          <w:tcPr>
            <w:tcW w:w="2044" w:type="dxa"/>
          </w:tcPr>
          <w:p w14:paraId="31749A07"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Paprastasis uosis</w:t>
            </w:r>
          </w:p>
        </w:tc>
        <w:tc>
          <w:tcPr>
            <w:tcW w:w="1522" w:type="dxa"/>
          </w:tcPr>
          <w:p w14:paraId="6145CCFE"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32</w:t>
            </w:r>
          </w:p>
        </w:tc>
        <w:tc>
          <w:tcPr>
            <w:tcW w:w="4102" w:type="dxa"/>
          </w:tcPr>
          <w:p w14:paraId="4DD60CEE" w14:textId="77777777" w:rsidR="00F378C9" w:rsidRPr="00F378C9" w:rsidRDefault="00F378C9" w:rsidP="00F378C9">
            <w:pPr>
              <w:suppressAutoHyphens/>
              <w:spacing w:after="0" w:line="240" w:lineRule="auto"/>
              <w:jc w:val="both"/>
              <w:rPr>
                <w:rFonts w:ascii="Arial" w:hAnsi="Arial" w:cs="Arial"/>
                <w:sz w:val="24"/>
                <w:szCs w:val="24"/>
                <w:lang w:val="lt-LT" w:bidi="ar-SA"/>
              </w:rPr>
            </w:pPr>
            <w:r w:rsidRPr="00F378C9">
              <w:rPr>
                <w:rFonts w:ascii="Arial" w:hAnsi="Arial" w:cs="Arial"/>
                <w:sz w:val="24"/>
                <w:szCs w:val="24"/>
                <w:lang w:val="lt-LT" w:bidi="ar-SA"/>
              </w:rPr>
              <w:t xml:space="preserve">Būklė – bloga. Medis formuoja teritorijos apželdinimą. Medžio lajoje apie 60 </w:t>
            </w:r>
            <w:r w:rsidRPr="00F378C9">
              <w:rPr>
                <w:rFonts w:ascii="Arial" w:hAnsi="Arial" w:cs="Arial"/>
                <w:sz w:val="24"/>
                <w:szCs w:val="24"/>
                <w:lang w:bidi="ar-SA"/>
              </w:rPr>
              <w:t>%</w:t>
            </w:r>
            <w:r w:rsidRPr="00F378C9">
              <w:rPr>
                <w:rFonts w:ascii="Arial" w:hAnsi="Arial" w:cs="Arial"/>
                <w:sz w:val="24"/>
                <w:szCs w:val="24"/>
                <w:lang w:val="lt-LT" w:bidi="ar-SA"/>
              </w:rPr>
              <w:t xml:space="preserve"> sausų </w:t>
            </w:r>
            <w:proofErr w:type="spellStart"/>
            <w:r w:rsidRPr="00F378C9">
              <w:rPr>
                <w:rFonts w:ascii="Arial" w:hAnsi="Arial" w:cs="Arial"/>
                <w:sz w:val="24"/>
                <w:szCs w:val="24"/>
                <w:lang w:val="lt-LT" w:bidi="ar-SA"/>
              </w:rPr>
              <w:t>skeletinių</w:t>
            </w:r>
            <w:proofErr w:type="spellEnd"/>
            <w:r w:rsidRPr="00F378C9">
              <w:rPr>
                <w:rFonts w:ascii="Arial" w:hAnsi="Arial" w:cs="Arial"/>
                <w:sz w:val="24"/>
                <w:szCs w:val="24"/>
                <w:lang w:val="lt-LT" w:bidi="ar-SA"/>
              </w:rPr>
              <w:t xml:space="preserve"> šakų. Medis pavojingai pasviręs. Pavojingas augti teritorijos aplinkoje. Išduodamas leidimas. </w:t>
            </w:r>
          </w:p>
        </w:tc>
        <w:tc>
          <w:tcPr>
            <w:tcW w:w="1639" w:type="dxa"/>
          </w:tcPr>
          <w:p w14:paraId="27BAEC71"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0</w:t>
            </w:r>
          </w:p>
        </w:tc>
      </w:tr>
      <w:tr w:rsidR="00F378C9" w:rsidRPr="00F378C9" w14:paraId="42E7C444" w14:textId="77777777" w:rsidTr="000B70D1">
        <w:trPr>
          <w:trHeight w:val="873"/>
        </w:trPr>
        <w:tc>
          <w:tcPr>
            <w:tcW w:w="655" w:type="dxa"/>
          </w:tcPr>
          <w:p w14:paraId="2229849F" w14:textId="77777777" w:rsidR="00F378C9" w:rsidRPr="00F378C9" w:rsidRDefault="00F378C9" w:rsidP="00F378C9">
            <w:pPr>
              <w:spacing w:after="0" w:line="240" w:lineRule="auto"/>
              <w:jc w:val="both"/>
              <w:rPr>
                <w:rFonts w:ascii="Arial" w:hAnsi="Arial" w:cs="Arial"/>
                <w:sz w:val="24"/>
                <w:szCs w:val="24"/>
                <w:lang w:val="lt" w:bidi="ar-SA"/>
              </w:rPr>
            </w:pPr>
            <w:r w:rsidRPr="00F378C9">
              <w:rPr>
                <w:rFonts w:ascii="Arial" w:hAnsi="Arial" w:cs="Arial"/>
                <w:sz w:val="24"/>
                <w:szCs w:val="24"/>
                <w:lang w:val="lt" w:bidi="ar-SA"/>
              </w:rPr>
              <w:t xml:space="preserve">2. </w:t>
            </w:r>
          </w:p>
        </w:tc>
        <w:tc>
          <w:tcPr>
            <w:tcW w:w="2044" w:type="dxa"/>
          </w:tcPr>
          <w:p w14:paraId="2DD185F4"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Trapusis gluosnis</w:t>
            </w:r>
          </w:p>
        </w:tc>
        <w:tc>
          <w:tcPr>
            <w:tcW w:w="1522" w:type="dxa"/>
          </w:tcPr>
          <w:p w14:paraId="5A0CB256"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86</w:t>
            </w:r>
          </w:p>
        </w:tc>
        <w:tc>
          <w:tcPr>
            <w:tcW w:w="4102" w:type="dxa"/>
          </w:tcPr>
          <w:p w14:paraId="34227F22" w14:textId="77777777" w:rsidR="00F378C9" w:rsidRPr="00F378C9" w:rsidRDefault="00F378C9" w:rsidP="00F378C9">
            <w:pPr>
              <w:suppressAutoHyphens/>
              <w:spacing w:after="0" w:line="240" w:lineRule="auto"/>
              <w:jc w:val="both"/>
              <w:rPr>
                <w:rFonts w:ascii="Arial" w:hAnsi="Arial" w:cs="Arial"/>
                <w:sz w:val="24"/>
                <w:szCs w:val="24"/>
                <w:lang w:val="lt-LT" w:bidi="ar-SA"/>
              </w:rPr>
            </w:pPr>
            <w:r w:rsidRPr="00F378C9">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2A7418CA"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0</w:t>
            </w:r>
          </w:p>
        </w:tc>
      </w:tr>
      <w:tr w:rsidR="00F378C9" w:rsidRPr="00F378C9" w14:paraId="2C7075BC" w14:textId="77777777" w:rsidTr="000B70D1">
        <w:trPr>
          <w:trHeight w:val="873"/>
        </w:trPr>
        <w:tc>
          <w:tcPr>
            <w:tcW w:w="655" w:type="dxa"/>
          </w:tcPr>
          <w:p w14:paraId="50613819" w14:textId="77777777" w:rsidR="00F378C9" w:rsidRPr="00F378C9" w:rsidRDefault="00F378C9" w:rsidP="00F378C9">
            <w:pPr>
              <w:spacing w:after="0" w:line="240" w:lineRule="auto"/>
              <w:jc w:val="both"/>
              <w:rPr>
                <w:rFonts w:ascii="Arial" w:hAnsi="Arial" w:cs="Arial"/>
                <w:sz w:val="24"/>
                <w:szCs w:val="24"/>
                <w:lang w:val="lt" w:bidi="ar-SA"/>
              </w:rPr>
            </w:pPr>
            <w:r w:rsidRPr="00F378C9">
              <w:rPr>
                <w:rFonts w:ascii="Arial" w:hAnsi="Arial" w:cs="Arial"/>
                <w:sz w:val="24"/>
                <w:szCs w:val="24"/>
                <w:lang w:val="lt" w:bidi="ar-SA"/>
              </w:rPr>
              <w:t xml:space="preserve">3. </w:t>
            </w:r>
          </w:p>
        </w:tc>
        <w:tc>
          <w:tcPr>
            <w:tcW w:w="2044" w:type="dxa"/>
          </w:tcPr>
          <w:p w14:paraId="3CB1F74A"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Trapusis gluosnis</w:t>
            </w:r>
          </w:p>
        </w:tc>
        <w:tc>
          <w:tcPr>
            <w:tcW w:w="1522" w:type="dxa"/>
          </w:tcPr>
          <w:p w14:paraId="1268B46B"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79</w:t>
            </w:r>
          </w:p>
        </w:tc>
        <w:tc>
          <w:tcPr>
            <w:tcW w:w="4102" w:type="dxa"/>
          </w:tcPr>
          <w:p w14:paraId="55DE1AE0" w14:textId="77777777" w:rsidR="00F378C9" w:rsidRPr="00F378C9" w:rsidRDefault="00F378C9" w:rsidP="00F378C9">
            <w:pPr>
              <w:suppressAutoHyphens/>
              <w:spacing w:after="0" w:line="240" w:lineRule="auto"/>
              <w:jc w:val="both"/>
              <w:rPr>
                <w:rFonts w:ascii="Arial" w:hAnsi="Arial" w:cs="Arial"/>
                <w:sz w:val="24"/>
                <w:szCs w:val="24"/>
                <w:lang w:val="lt-LT" w:bidi="ar-SA"/>
              </w:rPr>
            </w:pPr>
            <w:r w:rsidRPr="00F378C9">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44B9F172"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0</w:t>
            </w:r>
          </w:p>
        </w:tc>
      </w:tr>
      <w:tr w:rsidR="00F378C9" w:rsidRPr="00F378C9" w14:paraId="2B0BCF30" w14:textId="77777777" w:rsidTr="000B70D1">
        <w:trPr>
          <w:trHeight w:val="873"/>
        </w:trPr>
        <w:tc>
          <w:tcPr>
            <w:tcW w:w="655" w:type="dxa"/>
          </w:tcPr>
          <w:p w14:paraId="71618689" w14:textId="77777777" w:rsidR="00F378C9" w:rsidRPr="00F378C9" w:rsidRDefault="00F378C9" w:rsidP="00F378C9">
            <w:pPr>
              <w:spacing w:after="0" w:line="240" w:lineRule="auto"/>
              <w:jc w:val="both"/>
              <w:rPr>
                <w:rFonts w:ascii="Arial" w:hAnsi="Arial" w:cs="Arial"/>
                <w:sz w:val="24"/>
                <w:szCs w:val="24"/>
                <w:lang w:val="lt" w:bidi="ar-SA"/>
              </w:rPr>
            </w:pPr>
            <w:r w:rsidRPr="00F378C9">
              <w:rPr>
                <w:rFonts w:ascii="Arial" w:hAnsi="Arial" w:cs="Arial"/>
                <w:sz w:val="24"/>
                <w:szCs w:val="24"/>
                <w:lang w:val="lt" w:bidi="ar-SA"/>
              </w:rPr>
              <w:t xml:space="preserve">4. </w:t>
            </w:r>
          </w:p>
        </w:tc>
        <w:tc>
          <w:tcPr>
            <w:tcW w:w="2044" w:type="dxa"/>
          </w:tcPr>
          <w:p w14:paraId="45731C6C"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Trapusis gluosnis</w:t>
            </w:r>
          </w:p>
          <w:p w14:paraId="6C162F60"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(dvikamienis)</w:t>
            </w:r>
          </w:p>
        </w:tc>
        <w:tc>
          <w:tcPr>
            <w:tcW w:w="1522" w:type="dxa"/>
          </w:tcPr>
          <w:p w14:paraId="2A247568"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35</w:t>
            </w:r>
          </w:p>
          <w:p w14:paraId="53B8D040"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43</w:t>
            </w:r>
          </w:p>
        </w:tc>
        <w:tc>
          <w:tcPr>
            <w:tcW w:w="4102" w:type="dxa"/>
          </w:tcPr>
          <w:p w14:paraId="741A0D4D" w14:textId="77777777" w:rsidR="00F378C9" w:rsidRPr="00F378C9" w:rsidRDefault="00F378C9" w:rsidP="00F378C9">
            <w:pPr>
              <w:suppressAutoHyphens/>
              <w:spacing w:after="0" w:line="240" w:lineRule="auto"/>
              <w:jc w:val="both"/>
              <w:rPr>
                <w:rFonts w:ascii="Arial" w:hAnsi="Arial" w:cs="Arial"/>
                <w:sz w:val="24"/>
                <w:szCs w:val="24"/>
                <w:lang w:val="lt-LT" w:bidi="ar-SA"/>
              </w:rPr>
            </w:pPr>
            <w:r w:rsidRPr="00F378C9">
              <w:rPr>
                <w:rFonts w:ascii="Arial" w:hAnsi="Arial" w:cs="Arial"/>
                <w:sz w:val="24"/>
                <w:szCs w:val="24"/>
                <w:lang w:val="lt-LT" w:bidi="ar-SA"/>
              </w:rPr>
              <w:t>Būklė – bloga. Medis formuoja teritorijos apželdinimą. Tačiau medis pažeistas centrinio kamieno puvinio, pavojingas augti aplinkoje. Vienas iš medžių kamienų yra nulūžęs. Išduodamas leidimas.</w:t>
            </w:r>
          </w:p>
        </w:tc>
        <w:tc>
          <w:tcPr>
            <w:tcW w:w="1639" w:type="dxa"/>
          </w:tcPr>
          <w:p w14:paraId="267D2BF3" w14:textId="77777777" w:rsidR="00F378C9" w:rsidRPr="00F378C9" w:rsidRDefault="00F378C9" w:rsidP="00F378C9">
            <w:pPr>
              <w:spacing w:after="0" w:line="240" w:lineRule="auto"/>
              <w:jc w:val="center"/>
              <w:rPr>
                <w:rFonts w:ascii="Arial" w:hAnsi="Arial" w:cs="Arial"/>
                <w:sz w:val="24"/>
                <w:szCs w:val="24"/>
                <w:lang w:val="lt" w:bidi="ar-SA"/>
              </w:rPr>
            </w:pPr>
            <w:r w:rsidRPr="00F378C9">
              <w:rPr>
                <w:rFonts w:ascii="Arial" w:hAnsi="Arial" w:cs="Arial"/>
                <w:sz w:val="24"/>
                <w:szCs w:val="24"/>
                <w:lang w:val="lt" w:bidi="ar-SA"/>
              </w:rPr>
              <w:t>0</w:t>
            </w:r>
          </w:p>
        </w:tc>
      </w:tr>
      <w:tr w:rsidR="00F378C9" w:rsidRPr="00F378C9" w14:paraId="2346C554" w14:textId="77777777" w:rsidTr="000B70D1">
        <w:trPr>
          <w:trHeight w:val="393"/>
        </w:trPr>
        <w:tc>
          <w:tcPr>
            <w:tcW w:w="9962" w:type="dxa"/>
            <w:gridSpan w:val="5"/>
          </w:tcPr>
          <w:p w14:paraId="7F1829F8" w14:textId="77777777" w:rsidR="00F378C9" w:rsidRPr="00F378C9" w:rsidRDefault="00F378C9" w:rsidP="00F378C9">
            <w:pPr>
              <w:spacing w:after="0" w:line="240" w:lineRule="auto"/>
              <w:jc w:val="both"/>
              <w:rPr>
                <w:rFonts w:ascii="Arial" w:hAnsi="Arial" w:cs="Arial"/>
                <w:color w:val="000000"/>
                <w:sz w:val="24"/>
                <w:szCs w:val="24"/>
                <w:lang w:val="lt-LT" w:bidi="ar-SA"/>
              </w:rPr>
            </w:pPr>
            <w:r w:rsidRPr="00F378C9">
              <w:rPr>
                <w:rFonts w:ascii="Arial" w:hAnsi="Arial" w:cs="Arial"/>
                <w:sz w:val="24"/>
                <w:szCs w:val="24"/>
                <w:lang w:val="lt-LT" w:bidi="ar-SA"/>
              </w:rPr>
              <w:t>Atkuriamoji vertė neskaičiuojama,</w:t>
            </w:r>
            <w:r w:rsidRPr="00F378C9">
              <w:rPr>
                <w:rFonts w:ascii="Arial" w:hAnsi="Arial" w:cs="Arial"/>
                <w:color w:val="000000"/>
                <w:sz w:val="24"/>
                <w:szCs w:val="24"/>
                <w:lang w:val="lt-LT" w:bidi="ar-SA"/>
              </w:rPr>
              <w:t xml:space="preserve"> </w:t>
            </w:r>
            <w:r w:rsidRPr="00F378C9">
              <w:rPr>
                <w:rFonts w:ascii="Arial" w:hAnsi="Arial" w:cs="Arial"/>
                <w:sz w:val="24"/>
                <w:szCs w:val="24"/>
                <w:lang w:val="lt-LT" w:bidi="ar-SA"/>
              </w:rPr>
              <w:t xml:space="preserve">nes vadovaujantis LR želdynų įstatymo 13 straipsnio 3 punkto 3 dalies nuostatomis: </w:t>
            </w:r>
            <w:r w:rsidRPr="00F378C9">
              <w:rPr>
                <w:rFonts w:ascii="Arial" w:hAnsi="Arial" w:cs="Arial"/>
                <w:color w:val="000000"/>
                <w:sz w:val="24"/>
                <w:szCs w:val="24"/>
                <w:lang w:val="lt-LT" w:bidi="ar-SA"/>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w:t>
            </w:r>
          </w:p>
          <w:p w14:paraId="5D0EFE83" w14:textId="77777777" w:rsidR="00F378C9" w:rsidRPr="00F378C9" w:rsidRDefault="00F378C9" w:rsidP="00F378C9">
            <w:pPr>
              <w:spacing w:after="0" w:line="240" w:lineRule="auto"/>
              <w:jc w:val="both"/>
              <w:rPr>
                <w:rFonts w:ascii="Arial" w:hAnsi="Arial" w:cs="Arial"/>
                <w:b/>
                <w:bCs/>
                <w:sz w:val="24"/>
                <w:szCs w:val="24"/>
                <w:lang w:val="lt" w:bidi="ar-SA"/>
              </w:rPr>
            </w:pPr>
          </w:p>
        </w:tc>
      </w:tr>
      <w:tr w:rsidR="00F378C9" w:rsidRPr="00F378C9" w14:paraId="0ED73D5F" w14:textId="77777777" w:rsidTr="000B70D1">
        <w:tc>
          <w:tcPr>
            <w:tcW w:w="8323" w:type="dxa"/>
            <w:gridSpan w:val="4"/>
          </w:tcPr>
          <w:p w14:paraId="6D0CE3E8" w14:textId="77777777" w:rsidR="00F378C9" w:rsidRPr="00F378C9" w:rsidRDefault="00F378C9" w:rsidP="00F378C9">
            <w:pPr>
              <w:spacing w:after="0" w:line="240" w:lineRule="auto"/>
              <w:jc w:val="both"/>
              <w:rPr>
                <w:rFonts w:ascii="Arial" w:hAnsi="Arial" w:cs="Arial"/>
                <w:sz w:val="24"/>
                <w:szCs w:val="24"/>
                <w:lang w:val="lt" w:bidi="ar-SA"/>
              </w:rPr>
            </w:pPr>
            <w:r w:rsidRPr="00F378C9">
              <w:rPr>
                <w:rFonts w:ascii="Arial" w:hAnsi="Arial" w:cs="Arial"/>
                <w:sz w:val="24"/>
                <w:szCs w:val="24"/>
                <w:lang w:val="lt" w:bidi="ar-SA"/>
              </w:rPr>
              <w:t>Iš viso:</w:t>
            </w:r>
          </w:p>
        </w:tc>
        <w:tc>
          <w:tcPr>
            <w:tcW w:w="1639" w:type="dxa"/>
          </w:tcPr>
          <w:p w14:paraId="2290248F" w14:textId="77777777" w:rsidR="00F378C9" w:rsidRPr="00F378C9" w:rsidRDefault="00F378C9" w:rsidP="00F378C9">
            <w:pPr>
              <w:spacing w:after="0" w:line="240" w:lineRule="auto"/>
              <w:jc w:val="center"/>
              <w:rPr>
                <w:rFonts w:ascii="Arial" w:hAnsi="Arial" w:cs="Arial"/>
                <w:b/>
                <w:bCs/>
                <w:sz w:val="24"/>
                <w:szCs w:val="24"/>
                <w:u w:val="single"/>
                <w:lang w:val="lt" w:bidi="ar-SA"/>
              </w:rPr>
            </w:pPr>
            <w:r w:rsidRPr="00F378C9">
              <w:rPr>
                <w:rFonts w:ascii="Arial" w:hAnsi="Arial" w:cs="Arial"/>
                <w:b/>
                <w:bCs/>
                <w:sz w:val="24"/>
                <w:szCs w:val="24"/>
                <w:u w:val="single"/>
                <w:lang w:val="lt" w:bidi="ar-SA"/>
              </w:rPr>
              <w:t>0 €</w:t>
            </w:r>
          </w:p>
        </w:tc>
      </w:tr>
    </w:tbl>
    <w:bookmarkEnd w:id="0"/>
    <w:bookmarkEnd w:id="1"/>
    <w:bookmarkEnd w:id="2"/>
    <w:p w14:paraId="48D89C76" w14:textId="725A1A8F" w:rsidR="00E4009D" w:rsidRPr="0054119A" w:rsidRDefault="00F378C9" w:rsidP="000F620F">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lastRenderedPageBreak/>
        <w:t xml:space="preserve"> </w:t>
      </w:r>
      <w:r w:rsidR="00E4009D" w:rsidRPr="0054119A">
        <w:rPr>
          <w:rFonts w:ascii="Arial" w:hAnsi="Arial" w:cs="Arial"/>
          <w:sz w:val="20"/>
          <w:szCs w:val="20"/>
          <w:lang w:val="lt-LT" w:eastAsia="lt-LT"/>
        </w:rPr>
        <w:t>(leidžiamų vykdyti darbų esmė)</w:t>
      </w:r>
    </w:p>
    <w:p w14:paraId="3DB7C1B3" w14:textId="77777777" w:rsidR="00F1640F" w:rsidRPr="0054119A" w:rsidRDefault="00F1640F" w:rsidP="00E4009D">
      <w:pPr>
        <w:spacing w:after="0" w:line="240" w:lineRule="auto"/>
        <w:jc w:val="center"/>
        <w:rPr>
          <w:rFonts w:ascii="Arial" w:hAnsi="Arial" w:cs="Arial"/>
          <w:sz w:val="16"/>
          <w:szCs w:val="16"/>
          <w:lang w:val="lt-LT" w:eastAsia="lt-LT"/>
        </w:rPr>
      </w:pP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444406C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F378C9">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37A82F99"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3950B539"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5241F6">
        <w:rPr>
          <w:rFonts w:ascii="Arial" w:hAnsi="Arial" w:cs="Arial"/>
          <w:b/>
          <w:bCs/>
          <w:sz w:val="24"/>
          <w:szCs w:val="24"/>
          <w:u w:val="single"/>
          <w:lang w:val="lt-LT" w:eastAsia="lt-LT"/>
        </w:rPr>
        <w:t>3</w:t>
      </w:r>
      <w:r w:rsidR="00016C5C">
        <w:rPr>
          <w:rFonts w:ascii="Arial" w:hAnsi="Arial" w:cs="Arial"/>
          <w:b/>
          <w:bCs/>
          <w:sz w:val="24"/>
          <w:szCs w:val="24"/>
          <w:u w:val="single"/>
          <w:lang w:val="lt-LT" w:eastAsia="lt-LT"/>
        </w:rPr>
        <w:t>-</w:t>
      </w:r>
      <w:r w:rsidR="00F378C9">
        <w:rPr>
          <w:rFonts w:ascii="Arial" w:hAnsi="Arial" w:cs="Arial"/>
          <w:b/>
          <w:bCs/>
          <w:sz w:val="24"/>
          <w:szCs w:val="24"/>
          <w:u w:val="single"/>
          <w:lang w:val="lt-LT" w:eastAsia="lt-LT"/>
        </w:rPr>
        <w:t>18</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0706EDB5" w14:textId="77777777" w:rsidR="005241F6" w:rsidRDefault="005241F6" w:rsidP="003A4B54">
      <w:pPr>
        <w:spacing w:after="0" w:line="240" w:lineRule="auto"/>
        <w:rPr>
          <w:rFonts w:ascii="Arial" w:hAnsi="Arial" w:cs="Arial"/>
          <w:sz w:val="24"/>
          <w:szCs w:val="24"/>
          <w:lang w:val="lt-LT"/>
        </w:rPr>
      </w:pPr>
    </w:p>
    <w:p w14:paraId="58258FA3" w14:textId="77777777" w:rsidR="005241F6" w:rsidRDefault="005241F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2168</Words>
  <Characters>1236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40</cp:revision>
  <cp:lastPrinted>2024-02-19T14:48:00Z</cp:lastPrinted>
  <dcterms:created xsi:type="dcterms:W3CDTF">2024-08-12T13:31:00Z</dcterms:created>
  <dcterms:modified xsi:type="dcterms:W3CDTF">2025-03-03T07:47:00Z</dcterms:modified>
</cp:coreProperties>
</file>