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007E0008"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5D6D0F">
        <w:rPr>
          <w:rFonts w:ascii="Arial" w:hAnsi="Arial" w:cs="Arial"/>
          <w:sz w:val="24"/>
          <w:szCs w:val="24"/>
          <w:u w:val="single"/>
          <w:lang w:val="lt-LT" w:eastAsia="lt-LT"/>
        </w:rPr>
        <w:t>4-24</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5D6D0F">
        <w:rPr>
          <w:rFonts w:ascii="Arial" w:hAnsi="Arial" w:cs="Arial"/>
          <w:sz w:val="24"/>
          <w:szCs w:val="24"/>
          <w:u w:val="single"/>
          <w:lang w:val="lt-LT" w:eastAsia="lt-LT"/>
        </w:rPr>
        <w:t>39</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18143391"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5D6D0F">
        <w:rPr>
          <w:rFonts w:ascii="Arial" w:hAnsi="Arial" w:cs="Arial"/>
          <w:color w:val="000000"/>
          <w:sz w:val="24"/>
          <w:szCs w:val="24"/>
          <w:u w:val="single"/>
          <w:bdr w:val="none" w:sz="0" w:space="0" w:color="auto" w:frame="1"/>
          <w:lang w:val="lt-LT" w:bidi="ar-SA"/>
        </w:rPr>
        <w:t>Linai Mažonienei</w:t>
      </w:r>
      <w:r w:rsidR="003E5E22" w:rsidRPr="003E5E22">
        <w:rPr>
          <w:rFonts w:ascii="Arial" w:hAnsi="Arial" w:cs="Arial"/>
          <w:color w:val="000000"/>
          <w:sz w:val="24"/>
          <w:szCs w:val="24"/>
          <w:u w:val="single"/>
          <w:bdr w:val="none" w:sz="0" w:space="0" w:color="auto" w:frame="1"/>
          <w:lang w:val="lt-LT" w:bidi="ar-SA"/>
        </w:rPr>
        <w:t xml:space="preserve"> (prašymas Nr. </w:t>
      </w:r>
      <w:r w:rsidR="005D6D0F">
        <w:rPr>
          <w:rFonts w:ascii="Arial" w:hAnsi="Arial" w:cs="Arial"/>
          <w:color w:val="000000"/>
          <w:sz w:val="24"/>
          <w:szCs w:val="24"/>
          <w:u w:val="single"/>
          <w:bdr w:val="none" w:sz="0" w:space="0" w:color="auto" w:frame="1"/>
          <w:lang w:val="lt-LT" w:bidi="ar-SA"/>
        </w:rPr>
        <w:t>A13-1005</w:t>
      </w:r>
      <w:r w:rsidR="003E5E22" w:rsidRPr="003E5E22">
        <w:rPr>
          <w:rFonts w:ascii="Arial" w:hAnsi="Arial" w:cs="Arial"/>
          <w:color w:val="000000"/>
          <w:sz w:val="24"/>
          <w:szCs w:val="24"/>
          <w:u w:val="single"/>
          <w:bdr w:val="none" w:sz="0" w:space="0" w:color="auto" w:frame="1"/>
          <w:lang w:val="lt-LT" w:bidi="ar-SA"/>
        </w:rPr>
        <w:t>).</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0437721" w14:textId="275733D7" w:rsidR="003E5E22" w:rsidRPr="003E5E22" w:rsidRDefault="00E4009D" w:rsidP="003E5E22">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5D6D0F" w:rsidRPr="005D6D0F">
        <w:rPr>
          <w:rFonts w:ascii="Arial" w:hAnsi="Arial" w:cs="Arial"/>
          <w:sz w:val="24"/>
          <w:szCs w:val="24"/>
          <w:u w:val="single"/>
          <w:lang w:val="lt" w:bidi="ar-SA"/>
        </w:rPr>
        <w:t>kitos paskirties, žemės naudojimo būdas – vienbučių ir dvibučių gyvenamųjų pastatų teritorijos Mykolo Vaitkaus g. 30, Gargždų mieste (kad. Nr. 5520/0011:213)</w:t>
      </w:r>
    </w:p>
    <w:p w14:paraId="744CE7FE" w14:textId="673E17E9"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
        <w:gridCol w:w="1380"/>
        <w:gridCol w:w="121"/>
        <w:gridCol w:w="3877"/>
        <w:gridCol w:w="1617"/>
      </w:tblGrid>
      <w:tr w:rsidR="003E5E22" w:rsidRPr="003E5E22" w14:paraId="44A3CF86" w14:textId="77777777" w:rsidTr="005D6D0F">
        <w:tc>
          <w:tcPr>
            <w:tcW w:w="9628" w:type="dxa"/>
            <w:gridSpan w:val="7"/>
          </w:tcPr>
          <w:p w14:paraId="68D814D3" w14:textId="4A890447" w:rsidR="003E5E22" w:rsidRPr="003E5E22" w:rsidRDefault="003E5E22" w:rsidP="003E5E22">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3E5E22">
              <w:rPr>
                <w:rFonts w:ascii="Arial" w:hAnsi="Arial" w:cs="Arial"/>
                <w:sz w:val="24"/>
                <w:szCs w:val="24"/>
                <w:lang w:val="lt-LT" w:bidi="ar-SA"/>
              </w:rPr>
              <w:t xml:space="preserve">Sklype – </w:t>
            </w:r>
            <w:r w:rsidR="005D6D0F" w:rsidRPr="005D6D0F">
              <w:rPr>
                <w:rFonts w:ascii="Arial" w:hAnsi="Arial" w:cs="Arial"/>
                <w:sz w:val="24"/>
                <w:szCs w:val="24"/>
                <w:lang w:val="lt-LT" w:bidi="ar-SA"/>
              </w:rPr>
              <w:t>kitos paskirties, žemės naudojimo būdas – vienbučių ir dvibučių gyvenamųjų pastatų teritorijos Mykolo Vaitkaus g. 30, Gargždų mieste (kad. Nr. 5520/0011:213)</w:t>
            </w:r>
          </w:p>
        </w:tc>
      </w:tr>
      <w:tr w:rsidR="003E5E22" w:rsidRPr="003E5E22" w14:paraId="5D0377C8" w14:textId="77777777" w:rsidTr="005D6D0F">
        <w:tc>
          <w:tcPr>
            <w:tcW w:w="643" w:type="dxa"/>
          </w:tcPr>
          <w:p w14:paraId="5B5D1E98" w14:textId="77777777" w:rsidR="003E5E22" w:rsidRPr="003E5E22" w:rsidRDefault="003E5E22" w:rsidP="003E5E22">
            <w:pPr>
              <w:spacing w:after="0" w:line="240" w:lineRule="auto"/>
              <w:jc w:val="both"/>
              <w:rPr>
                <w:rFonts w:ascii="Arial" w:hAnsi="Arial" w:cs="Arial"/>
                <w:sz w:val="24"/>
                <w:szCs w:val="24"/>
                <w:lang w:val="lt" w:bidi="ar-SA"/>
              </w:rPr>
            </w:pPr>
            <w:r w:rsidRPr="003E5E22">
              <w:rPr>
                <w:rFonts w:ascii="Arial" w:hAnsi="Arial" w:cs="Arial"/>
                <w:sz w:val="24"/>
                <w:szCs w:val="24"/>
                <w:lang w:val="lt" w:bidi="ar-SA"/>
              </w:rPr>
              <w:t>Nr.</w:t>
            </w:r>
          </w:p>
        </w:tc>
        <w:tc>
          <w:tcPr>
            <w:tcW w:w="1990" w:type="dxa"/>
            <w:gridSpan w:val="2"/>
          </w:tcPr>
          <w:p w14:paraId="1E6BA209"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Želdinio rūšis</w:t>
            </w:r>
          </w:p>
        </w:tc>
        <w:tc>
          <w:tcPr>
            <w:tcW w:w="1501" w:type="dxa"/>
            <w:gridSpan w:val="2"/>
          </w:tcPr>
          <w:p w14:paraId="2233ED91"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Skersmuo 1,30 m</w:t>
            </w:r>
          </w:p>
        </w:tc>
        <w:tc>
          <w:tcPr>
            <w:tcW w:w="3877" w:type="dxa"/>
          </w:tcPr>
          <w:p w14:paraId="3D2D934A"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Būklė</w:t>
            </w:r>
          </w:p>
        </w:tc>
        <w:tc>
          <w:tcPr>
            <w:tcW w:w="1617" w:type="dxa"/>
          </w:tcPr>
          <w:p w14:paraId="18785FE4"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Atkuriamoji vertė €</w:t>
            </w:r>
          </w:p>
        </w:tc>
      </w:tr>
      <w:tr w:rsidR="005D6D0F" w:rsidRPr="009C4E99" w14:paraId="142BC96E" w14:textId="77777777" w:rsidTr="005D6D0F">
        <w:trPr>
          <w:trHeight w:val="873"/>
        </w:trPr>
        <w:tc>
          <w:tcPr>
            <w:tcW w:w="643" w:type="dxa"/>
          </w:tcPr>
          <w:p w14:paraId="2EAF05D9" w14:textId="77777777" w:rsidR="005D6D0F" w:rsidRPr="00AA3D29" w:rsidRDefault="005D6D0F" w:rsidP="000A73D1">
            <w:pPr>
              <w:jc w:val="both"/>
              <w:rPr>
                <w:rFonts w:ascii="Arial" w:hAnsi="Arial" w:cs="Arial"/>
                <w:sz w:val="24"/>
                <w:szCs w:val="24"/>
              </w:rPr>
            </w:pPr>
            <w:r w:rsidRPr="00AA3D29">
              <w:rPr>
                <w:rFonts w:ascii="Arial" w:hAnsi="Arial" w:cs="Arial"/>
                <w:sz w:val="24"/>
                <w:szCs w:val="24"/>
              </w:rPr>
              <w:t xml:space="preserve">1. </w:t>
            </w:r>
          </w:p>
        </w:tc>
        <w:tc>
          <w:tcPr>
            <w:tcW w:w="1837" w:type="dxa"/>
          </w:tcPr>
          <w:p w14:paraId="0B801CF1" w14:textId="77777777" w:rsidR="005D6D0F" w:rsidRPr="00AA3D29" w:rsidRDefault="005D6D0F" w:rsidP="000A73D1">
            <w:pPr>
              <w:jc w:val="center"/>
              <w:rPr>
                <w:rFonts w:ascii="Arial" w:hAnsi="Arial" w:cs="Arial"/>
                <w:sz w:val="24"/>
                <w:szCs w:val="24"/>
              </w:rPr>
            </w:pPr>
            <w:r>
              <w:rPr>
                <w:rFonts w:ascii="Arial" w:hAnsi="Arial" w:cs="Arial"/>
                <w:sz w:val="24"/>
                <w:szCs w:val="24"/>
              </w:rPr>
              <w:t>Plaukuotasis beržas</w:t>
            </w:r>
          </w:p>
        </w:tc>
        <w:tc>
          <w:tcPr>
            <w:tcW w:w="1533" w:type="dxa"/>
            <w:gridSpan w:val="2"/>
          </w:tcPr>
          <w:p w14:paraId="4CE30B7D" w14:textId="77777777" w:rsidR="005D6D0F" w:rsidRPr="00AA3D29" w:rsidRDefault="005D6D0F" w:rsidP="000A73D1">
            <w:pPr>
              <w:jc w:val="center"/>
              <w:rPr>
                <w:rFonts w:ascii="Arial" w:hAnsi="Arial" w:cs="Arial"/>
                <w:sz w:val="24"/>
                <w:szCs w:val="24"/>
              </w:rPr>
            </w:pPr>
            <w:r>
              <w:rPr>
                <w:rFonts w:ascii="Arial" w:hAnsi="Arial" w:cs="Arial"/>
                <w:sz w:val="24"/>
                <w:szCs w:val="24"/>
              </w:rPr>
              <w:t>29</w:t>
            </w:r>
          </w:p>
        </w:tc>
        <w:tc>
          <w:tcPr>
            <w:tcW w:w="3998" w:type="dxa"/>
            <w:gridSpan w:val="2"/>
          </w:tcPr>
          <w:p w14:paraId="3D3C8E41" w14:textId="77777777" w:rsidR="005D6D0F" w:rsidRPr="00F92237" w:rsidRDefault="005D6D0F" w:rsidP="000A73D1">
            <w:pPr>
              <w:suppressAutoHyphens/>
              <w:jc w:val="both"/>
              <w:rPr>
                <w:rFonts w:ascii="Arial" w:eastAsia="Times New Roman" w:hAnsi="Arial" w:cs="Arial"/>
                <w:sz w:val="24"/>
                <w:szCs w:val="24"/>
                <w:lang w:eastAsia="lt-LT"/>
              </w:rPr>
            </w:pPr>
            <w:r w:rsidRPr="00F92237">
              <w:rPr>
                <w:rFonts w:ascii="Arial" w:hAnsi="Arial" w:cs="Arial"/>
                <w:color w:val="242424"/>
                <w:sz w:val="24"/>
                <w:szCs w:val="24"/>
                <w:bdr w:val="none" w:sz="0" w:space="0" w:color="auto" w:frame="1"/>
              </w:rPr>
              <w:t xml:space="preserve">Būklė gera. </w:t>
            </w:r>
            <w:r w:rsidRPr="00F92237">
              <w:rPr>
                <w:rFonts w:ascii="Arial" w:eastAsia="Times New Roman" w:hAnsi="Arial" w:cs="Arial"/>
                <w:sz w:val="24"/>
                <w:szCs w:val="24"/>
                <w:lang w:eastAsia="lt-LT"/>
              </w:rPr>
              <w:t xml:space="preserve">Medis vertingas estetine ir ekologine prasme. Medis formuoja teritorijos apželdinimą. </w:t>
            </w:r>
          </w:p>
          <w:p w14:paraId="572A3744" w14:textId="77777777" w:rsidR="005D6D0F" w:rsidRPr="00F92237" w:rsidRDefault="005D6D0F"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r w:rsidRPr="00F92237">
              <w:rPr>
                <w:rFonts w:ascii="Arial" w:hAnsi="Arial" w:cs="Arial"/>
              </w:rPr>
              <w:t xml:space="preserve">Medis svarbus bioįvairovei ir šiuo metu nekelia pavojaus. Medžio </w:t>
            </w:r>
            <w:r w:rsidRPr="00F92237">
              <w:rPr>
                <w:rFonts w:ascii="Arial" w:hAnsi="Arial" w:cs="Arial"/>
                <w:color w:val="242424"/>
                <w:bdr w:val="none" w:sz="0" w:space="0" w:color="auto" w:frame="1"/>
              </w:rPr>
              <w:t xml:space="preserve">laja gyvybinga, kompaktiška. Pateiktame prašyme nurodyta, kad želdinys trukdys tvoros aptvėrimui. </w:t>
            </w:r>
          </w:p>
          <w:p w14:paraId="09971BE0" w14:textId="77777777" w:rsidR="005D6D0F" w:rsidRPr="009C4E99" w:rsidRDefault="005D6D0F" w:rsidP="000A73D1">
            <w:pPr>
              <w:pStyle w:val="xmsonormal"/>
              <w:shd w:val="clear" w:color="auto" w:fill="FFFFFF"/>
              <w:spacing w:before="0" w:beforeAutospacing="0" w:after="0" w:afterAutospacing="0"/>
              <w:jc w:val="both"/>
              <w:rPr>
                <w:rFonts w:ascii="Arial" w:hAnsi="Arial" w:cs="Arial"/>
              </w:rPr>
            </w:pPr>
            <w:r w:rsidRPr="00F92237">
              <w:rPr>
                <w:rFonts w:ascii="Arial" w:hAnsi="Arial" w:cs="Arial"/>
              </w:rPr>
              <w:t>Išduodamas leidimas taikant atkuriamosios vertės įkainius.</w:t>
            </w:r>
            <w:r w:rsidRPr="009C4E99">
              <w:rPr>
                <w:rFonts w:ascii="Arial" w:hAnsi="Arial" w:cs="Arial"/>
              </w:rPr>
              <w:t xml:space="preserve"> </w:t>
            </w:r>
          </w:p>
        </w:tc>
        <w:tc>
          <w:tcPr>
            <w:tcW w:w="1617" w:type="dxa"/>
          </w:tcPr>
          <w:p w14:paraId="051510A2" w14:textId="77777777" w:rsidR="005D6D0F" w:rsidRPr="009C4E99" w:rsidRDefault="005D6D0F" w:rsidP="000A73D1">
            <w:pPr>
              <w:jc w:val="center"/>
              <w:rPr>
                <w:rFonts w:ascii="Arial" w:hAnsi="Arial" w:cs="Arial"/>
                <w:sz w:val="24"/>
                <w:szCs w:val="24"/>
              </w:rPr>
            </w:pPr>
            <w:r>
              <w:rPr>
                <w:rFonts w:ascii="Arial" w:hAnsi="Arial" w:cs="Arial"/>
                <w:sz w:val="24"/>
                <w:szCs w:val="24"/>
              </w:rPr>
              <w:t>261</w:t>
            </w:r>
          </w:p>
        </w:tc>
      </w:tr>
      <w:tr w:rsidR="005D6D0F" w:rsidRPr="009C4E99" w14:paraId="4178883B" w14:textId="77777777" w:rsidTr="005D6D0F">
        <w:trPr>
          <w:trHeight w:val="873"/>
        </w:trPr>
        <w:tc>
          <w:tcPr>
            <w:tcW w:w="643" w:type="dxa"/>
          </w:tcPr>
          <w:p w14:paraId="6EDB4BBD" w14:textId="5EFA25D8" w:rsidR="005D6D0F" w:rsidRPr="00AA3D29" w:rsidRDefault="005D6D0F" w:rsidP="000A73D1">
            <w:pPr>
              <w:jc w:val="both"/>
              <w:rPr>
                <w:rFonts w:ascii="Arial" w:hAnsi="Arial" w:cs="Arial"/>
                <w:sz w:val="24"/>
                <w:szCs w:val="24"/>
              </w:rPr>
            </w:pPr>
            <w:r>
              <w:rPr>
                <w:rFonts w:ascii="Arial" w:hAnsi="Arial" w:cs="Arial"/>
                <w:sz w:val="24"/>
                <w:szCs w:val="24"/>
              </w:rPr>
              <w:t>2.</w:t>
            </w:r>
          </w:p>
        </w:tc>
        <w:tc>
          <w:tcPr>
            <w:tcW w:w="1837" w:type="dxa"/>
          </w:tcPr>
          <w:p w14:paraId="6DF57623" w14:textId="77777777" w:rsidR="005D6D0F" w:rsidRDefault="005D6D0F" w:rsidP="000A73D1">
            <w:pPr>
              <w:jc w:val="center"/>
              <w:rPr>
                <w:rFonts w:ascii="Arial" w:hAnsi="Arial" w:cs="Arial"/>
                <w:sz w:val="24"/>
                <w:szCs w:val="24"/>
              </w:rPr>
            </w:pPr>
            <w:r>
              <w:rPr>
                <w:rFonts w:ascii="Arial" w:hAnsi="Arial" w:cs="Arial"/>
                <w:sz w:val="24"/>
                <w:szCs w:val="24"/>
              </w:rPr>
              <w:t>Plaukuotasis beržas</w:t>
            </w:r>
          </w:p>
        </w:tc>
        <w:tc>
          <w:tcPr>
            <w:tcW w:w="1533" w:type="dxa"/>
            <w:gridSpan w:val="2"/>
          </w:tcPr>
          <w:p w14:paraId="7CC20CE1" w14:textId="77777777" w:rsidR="005D6D0F" w:rsidRDefault="005D6D0F" w:rsidP="000A73D1">
            <w:pPr>
              <w:jc w:val="center"/>
              <w:rPr>
                <w:rFonts w:ascii="Arial" w:hAnsi="Arial" w:cs="Arial"/>
                <w:sz w:val="24"/>
                <w:szCs w:val="24"/>
              </w:rPr>
            </w:pPr>
            <w:r>
              <w:rPr>
                <w:rFonts w:ascii="Arial" w:hAnsi="Arial" w:cs="Arial"/>
                <w:sz w:val="24"/>
                <w:szCs w:val="24"/>
              </w:rPr>
              <w:t>30</w:t>
            </w:r>
          </w:p>
        </w:tc>
        <w:tc>
          <w:tcPr>
            <w:tcW w:w="3998" w:type="dxa"/>
            <w:gridSpan w:val="2"/>
          </w:tcPr>
          <w:p w14:paraId="3B7510CB" w14:textId="77777777" w:rsidR="005D6D0F" w:rsidRPr="00F92237" w:rsidRDefault="005D6D0F" w:rsidP="000A73D1">
            <w:pPr>
              <w:suppressAutoHyphens/>
              <w:jc w:val="both"/>
              <w:rPr>
                <w:rFonts w:ascii="Arial" w:eastAsia="Times New Roman" w:hAnsi="Arial" w:cs="Arial"/>
                <w:sz w:val="24"/>
                <w:szCs w:val="24"/>
                <w:lang w:eastAsia="lt-LT"/>
              </w:rPr>
            </w:pPr>
            <w:r w:rsidRPr="00F92237">
              <w:rPr>
                <w:rFonts w:ascii="Arial" w:hAnsi="Arial" w:cs="Arial"/>
                <w:color w:val="242424"/>
                <w:sz w:val="24"/>
                <w:szCs w:val="24"/>
                <w:bdr w:val="none" w:sz="0" w:space="0" w:color="auto" w:frame="1"/>
              </w:rPr>
              <w:t xml:space="preserve">Būklė gera. </w:t>
            </w:r>
            <w:r w:rsidRPr="00F92237">
              <w:rPr>
                <w:rFonts w:ascii="Arial" w:eastAsia="Times New Roman" w:hAnsi="Arial" w:cs="Arial"/>
                <w:sz w:val="24"/>
                <w:szCs w:val="24"/>
                <w:lang w:eastAsia="lt-LT"/>
              </w:rPr>
              <w:t xml:space="preserve">Medis vertingas estetine ir ekologine prasme. Medis formuoja teritorijos apželdinimą. </w:t>
            </w:r>
          </w:p>
          <w:p w14:paraId="15121BBB" w14:textId="77777777" w:rsidR="005D6D0F" w:rsidRPr="00F92237" w:rsidRDefault="005D6D0F"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r w:rsidRPr="00F92237">
              <w:rPr>
                <w:rFonts w:ascii="Arial" w:hAnsi="Arial" w:cs="Arial"/>
              </w:rPr>
              <w:t xml:space="preserve">Medis svarbus bioįvairovei ir šiuo metu nekelia pavojaus. Medžio </w:t>
            </w:r>
            <w:r w:rsidRPr="00F92237">
              <w:rPr>
                <w:rFonts w:ascii="Arial" w:hAnsi="Arial" w:cs="Arial"/>
                <w:color w:val="242424"/>
                <w:bdr w:val="none" w:sz="0" w:space="0" w:color="auto" w:frame="1"/>
              </w:rPr>
              <w:t xml:space="preserve">laja gyvybinga, kompaktiška. Pateiktame prašyme nurodyta, kad želdinys trukdys tvoros aptvėrimui. </w:t>
            </w:r>
          </w:p>
          <w:p w14:paraId="72BEA28E" w14:textId="77777777" w:rsidR="005D6D0F" w:rsidRPr="009C4E99" w:rsidRDefault="005D6D0F"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r w:rsidRPr="00F92237">
              <w:rPr>
                <w:rFonts w:ascii="Arial" w:hAnsi="Arial" w:cs="Arial"/>
              </w:rPr>
              <w:t>Išduodamas leidimas taikant atkuriamosios vertės įkainius.</w:t>
            </w:r>
          </w:p>
        </w:tc>
        <w:tc>
          <w:tcPr>
            <w:tcW w:w="1617" w:type="dxa"/>
          </w:tcPr>
          <w:p w14:paraId="166F28AF" w14:textId="77777777" w:rsidR="005D6D0F" w:rsidRDefault="005D6D0F" w:rsidP="000A73D1">
            <w:pPr>
              <w:jc w:val="center"/>
              <w:rPr>
                <w:rFonts w:ascii="Arial" w:hAnsi="Arial" w:cs="Arial"/>
                <w:sz w:val="24"/>
                <w:szCs w:val="24"/>
              </w:rPr>
            </w:pPr>
            <w:r>
              <w:rPr>
                <w:rFonts w:ascii="Arial" w:hAnsi="Arial" w:cs="Arial"/>
                <w:sz w:val="24"/>
                <w:szCs w:val="24"/>
              </w:rPr>
              <w:t>270</w:t>
            </w:r>
          </w:p>
        </w:tc>
      </w:tr>
      <w:tr w:rsidR="003E5E22" w:rsidRPr="003E5E22" w14:paraId="1A4011D5" w14:textId="77777777" w:rsidTr="005D6D0F">
        <w:trPr>
          <w:trHeight w:val="393"/>
        </w:trPr>
        <w:tc>
          <w:tcPr>
            <w:tcW w:w="9628" w:type="dxa"/>
            <w:gridSpan w:val="7"/>
          </w:tcPr>
          <w:p w14:paraId="219CDFBD" w14:textId="775D3A3B" w:rsidR="003E5E22" w:rsidRPr="003E5E22" w:rsidRDefault="005D6D0F" w:rsidP="003E5E22">
            <w:pPr>
              <w:spacing w:after="0" w:line="240" w:lineRule="auto"/>
              <w:jc w:val="both"/>
              <w:rPr>
                <w:rFonts w:ascii="Arial" w:hAnsi="Arial" w:cs="Arial"/>
                <w:b/>
                <w:bCs/>
                <w:sz w:val="24"/>
                <w:szCs w:val="24"/>
                <w:lang w:val="lt" w:bidi="ar-SA"/>
              </w:rPr>
            </w:pPr>
            <w:r w:rsidRPr="005D6D0F">
              <w:rPr>
                <w:rFonts w:ascii="Arial" w:hAnsi="Arial" w:cs="Arial"/>
                <w:sz w:val="24"/>
                <w:szCs w:val="24"/>
                <w:lang w:val="lt-LT" w:bidi="ar-SA"/>
              </w:rPr>
              <w:t>Vadovaujantis Lietuvos Respublikos želdynų įstatymo 13 straipsnio nuostatomis: „pagal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p>
        </w:tc>
      </w:tr>
      <w:tr w:rsidR="003E5E22" w:rsidRPr="003E5E22" w14:paraId="0AFE18CF" w14:textId="77777777" w:rsidTr="005D6D0F">
        <w:tc>
          <w:tcPr>
            <w:tcW w:w="8011" w:type="dxa"/>
            <w:gridSpan w:val="6"/>
          </w:tcPr>
          <w:p w14:paraId="26F8C663" w14:textId="77777777" w:rsidR="003E5E22" w:rsidRPr="003E5E22" w:rsidRDefault="003E5E22" w:rsidP="003E5E22">
            <w:pPr>
              <w:spacing w:after="0" w:line="240" w:lineRule="auto"/>
              <w:jc w:val="both"/>
              <w:rPr>
                <w:rFonts w:ascii="Arial" w:hAnsi="Arial" w:cs="Arial"/>
                <w:sz w:val="24"/>
                <w:szCs w:val="24"/>
                <w:lang w:val="lt" w:bidi="ar-SA"/>
              </w:rPr>
            </w:pPr>
            <w:r w:rsidRPr="003E5E22">
              <w:rPr>
                <w:rFonts w:ascii="Arial" w:hAnsi="Arial" w:cs="Arial"/>
                <w:sz w:val="24"/>
                <w:szCs w:val="24"/>
                <w:lang w:val="lt" w:bidi="ar-SA"/>
              </w:rPr>
              <w:t>Iš viso:</w:t>
            </w:r>
          </w:p>
        </w:tc>
        <w:tc>
          <w:tcPr>
            <w:tcW w:w="1617" w:type="dxa"/>
          </w:tcPr>
          <w:p w14:paraId="30DF8BAC" w14:textId="60DBBE1B" w:rsidR="003E5E22" w:rsidRPr="003E5E22" w:rsidRDefault="005D6D0F" w:rsidP="003E5E22">
            <w:pPr>
              <w:spacing w:after="0" w:line="240" w:lineRule="auto"/>
              <w:jc w:val="center"/>
              <w:rPr>
                <w:rFonts w:ascii="Arial" w:hAnsi="Arial" w:cs="Arial"/>
                <w:b/>
                <w:bCs/>
                <w:sz w:val="24"/>
                <w:szCs w:val="24"/>
                <w:u w:val="single"/>
                <w:lang w:val="lt" w:bidi="ar-SA"/>
              </w:rPr>
            </w:pPr>
            <w:r>
              <w:rPr>
                <w:rFonts w:ascii="Arial" w:hAnsi="Arial" w:cs="Arial"/>
                <w:b/>
                <w:bCs/>
                <w:sz w:val="24"/>
                <w:szCs w:val="24"/>
                <w:u w:val="single"/>
                <w:lang w:val="lt" w:bidi="ar-SA"/>
              </w:rPr>
              <w:t>531</w:t>
            </w:r>
            <w:r w:rsidR="003E5E22" w:rsidRPr="003E5E22">
              <w:rPr>
                <w:rFonts w:ascii="Arial" w:hAnsi="Arial" w:cs="Arial"/>
                <w:b/>
                <w:bCs/>
                <w:sz w:val="24"/>
                <w:szCs w:val="24"/>
                <w:u w:val="single"/>
                <w:lang w:val="lt" w:bidi="ar-SA"/>
              </w:rPr>
              <w:t xml:space="preserve"> €</w:t>
            </w:r>
          </w:p>
        </w:tc>
      </w:tr>
    </w:tbl>
    <w:bookmarkEnd w:id="0"/>
    <w:bookmarkEnd w:id="1"/>
    <w:bookmarkEnd w:id="2"/>
    <w:p w14:paraId="29B82415" w14:textId="739D155B" w:rsidR="00982E14" w:rsidRPr="003E5E22"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444406C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lastRenderedPageBreak/>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F378C9">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F8E226E"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5D6D0F">
        <w:rPr>
          <w:rFonts w:ascii="Arial" w:hAnsi="Arial" w:cs="Arial"/>
          <w:b/>
          <w:bCs/>
          <w:sz w:val="24"/>
          <w:szCs w:val="24"/>
          <w:u w:val="single"/>
          <w:lang w:val="lt-LT" w:eastAsia="lt-LT"/>
        </w:rPr>
        <w:t>5-09</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2155</Words>
  <Characters>1229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42</cp:revision>
  <cp:lastPrinted>2024-02-19T14:48:00Z</cp:lastPrinted>
  <dcterms:created xsi:type="dcterms:W3CDTF">2024-08-12T13:31:00Z</dcterms:created>
  <dcterms:modified xsi:type="dcterms:W3CDTF">2025-04-24T06:17:00Z</dcterms:modified>
</cp:coreProperties>
</file>