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9000" w14:textId="77777777" w:rsidR="00B022D8" w:rsidRPr="005127CE" w:rsidRDefault="00B022D8" w:rsidP="00B022D8">
      <w:pPr>
        <w:tabs>
          <w:tab w:val="left" w:pos="10650"/>
        </w:tabs>
        <w:rPr>
          <w:rFonts w:ascii="Times New Roman" w:hAnsi="Times New Roman" w:cs="Times New Roman"/>
          <w:sz w:val="24"/>
          <w:szCs w:val="24"/>
        </w:rPr>
      </w:pPr>
      <w:r w:rsidRPr="005127CE">
        <w:rPr>
          <w:rFonts w:ascii="Times New Roman" w:hAnsi="Times New Roman" w:cs="Times New Roman"/>
          <w:sz w:val="24"/>
          <w:szCs w:val="24"/>
        </w:rPr>
        <w:tab/>
        <w:t>PATVIRTINTA</w:t>
      </w:r>
    </w:p>
    <w:p w14:paraId="6A1A4CE7" w14:textId="77777777" w:rsidR="00B022D8" w:rsidRPr="005127CE" w:rsidRDefault="00B022D8" w:rsidP="00B022D8">
      <w:pPr>
        <w:tabs>
          <w:tab w:val="left" w:pos="10650"/>
        </w:tabs>
        <w:spacing w:after="0" w:line="240" w:lineRule="auto"/>
        <w:rPr>
          <w:rFonts w:ascii="Times New Roman" w:hAnsi="Times New Roman" w:cs="Times New Roman"/>
          <w:sz w:val="24"/>
          <w:szCs w:val="24"/>
        </w:rPr>
      </w:pPr>
      <w:r w:rsidRPr="005127CE">
        <w:rPr>
          <w:rFonts w:ascii="Times New Roman" w:hAnsi="Times New Roman" w:cs="Times New Roman"/>
          <w:sz w:val="24"/>
          <w:szCs w:val="24"/>
        </w:rPr>
        <w:t xml:space="preserve">                                                                                                                                                                                 Klaipėdos rajono savivaldybės</w:t>
      </w:r>
    </w:p>
    <w:p w14:paraId="0E053255" w14:textId="77777777" w:rsidR="00B022D8" w:rsidRPr="005127CE" w:rsidRDefault="00B022D8" w:rsidP="00B022D8">
      <w:pPr>
        <w:tabs>
          <w:tab w:val="left" w:pos="10650"/>
        </w:tabs>
        <w:spacing w:after="0" w:line="240" w:lineRule="auto"/>
        <w:rPr>
          <w:rFonts w:ascii="Times New Roman" w:hAnsi="Times New Roman" w:cs="Times New Roman"/>
          <w:sz w:val="24"/>
          <w:szCs w:val="24"/>
        </w:rPr>
      </w:pPr>
      <w:r w:rsidRPr="005127CE">
        <w:rPr>
          <w:rFonts w:ascii="Times New Roman" w:hAnsi="Times New Roman" w:cs="Times New Roman"/>
          <w:sz w:val="24"/>
          <w:szCs w:val="24"/>
        </w:rPr>
        <w:t xml:space="preserve">                                                                                                                                                                                 administracijos Švietimo ir sporto                              </w:t>
      </w:r>
    </w:p>
    <w:p w14:paraId="78689661" w14:textId="6937184B" w:rsidR="00B022D8" w:rsidRPr="005127CE" w:rsidRDefault="00B022D8" w:rsidP="00B022D8">
      <w:pPr>
        <w:tabs>
          <w:tab w:val="left" w:pos="10650"/>
        </w:tabs>
        <w:spacing w:after="0" w:line="240" w:lineRule="auto"/>
        <w:rPr>
          <w:rFonts w:ascii="Times New Roman" w:hAnsi="Times New Roman" w:cs="Times New Roman"/>
          <w:sz w:val="24"/>
          <w:szCs w:val="24"/>
        </w:rPr>
      </w:pPr>
      <w:r w:rsidRPr="005127CE">
        <w:rPr>
          <w:rFonts w:ascii="Times New Roman" w:hAnsi="Times New Roman" w:cs="Times New Roman"/>
          <w:sz w:val="24"/>
          <w:szCs w:val="24"/>
        </w:rPr>
        <w:t xml:space="preserve">                                                                                                                                                                                 skyriaus vedėjo 202</w:t>
      </w:r>
      <w:r w:rsidR="00417807" w:rsidRPr="005127CE">
        <w:rPr>
          <w:rFonts w:ascii="Times New Roman" w:hAnsi="Times New Roman" w:cs="Times New Roman"/>
          <w:sz w:val="24"/>
          <w:szCs w:val="24"/>
        </w:rPr>
        <w:t xml:space="preserve">5 </w:t>
      </w:r>
      <w:r w:rsidRPr="005127CE">
        <w:rPr>
          <w:rFonts w:ascii="Times New Roman" w:hAnsi="Times New Roman" w:cs="Times New Roman"/>
          <w:sz w:val="24"/>
          <w:szCs w:val="24"/>
        </w:rPr>
        <w:t xml:space="preserve">m. sausio </w:t>
      </w:r>
      <w:r w:rsidR="00E50121">
        <w:rPr>
          <w:rFonts w:ascii="Times New Roman" w:hAnsi="Times New Roman" w:cs="Times New Roman"/>
          <w:sz w:val="24"/>
          <w:szCs w:val="24"/>
        </w:rPr>
        <w:t>20</w:t>
      </w:r>
      <w:r w:rsidRPr="005127CE">
        <w:rPr>
          <w:rFonts w:ascii="Times New Roman" w:hAnsi="Times New Roman" w:cs="Times New Roman"/>
          <w:sz w:val="24"/>
          <w:szCs w:val="24"/>
        </w:rPr>
        <w:t xml:space="preserve"> d.</w:t>
      </w:r>
    </w:p>
    <w:p w14:paraId="5F5E0D95" w14:textId="01ABDB61" w:rsidR="00B022D8" w:rsidRPr="005127CE" w:rsidRDefault="00B022D8" w:rsidP="00B022D8">
      <w:pPr>
        <w:tabs>
          <w:tab w:val="left" w:pos="10650"/>
        </w:tabs>
        <w:spacing w:after="0" w:line="240" w:lineRule="auto"/>
        <w:rPr>
          <w:rFonts w:ascii="Times New Roman" w:hAnsi="Times New Roman" w:cs="Times New Roman"/>
          <w:sz w:val="24"/>
          <w:szCs w:val="24"/>
        </w:rPr>
      </w:pPr>
      <w:r w:rsidRPr="005127CE">
        <w:rPr>
          <w:rFonts w:ascii="Times New Roman" w:hAnsi="Times New Roman" w:cs="Times New Roman"/>
          <w:sz w:val="24"/>
          <w:szCs w:val="24"/>
        </w:rPr>
        <w:t xml:space="preserve">                                                                                                                                                                                 įsakymu Nr. </w:t>
      </w:r>
      <w:r w:rsidR="009304BC" w:rsidRPr="005127CE">
        <w:rPr>
          <w:rFonts w:ascii="Times New Roman" w:hAnsi="Times New Roman" w:cs="Times New Roman"/>
          <w:sz w:val="24"/>
          <w:szCs w:val="24"/>
        </w:rPr>
        <w:t>V-</w:t>
      </w:r>
      <w:r w:rsidR="00E50121">
        <w:rPr>
          <w:rFonts w:ascii="Times New Roman" w:hAnsi="Times New Roman" w:cs="Times New Roman"/>
          <w:sz w:val="24"/>
          <w:szCs w:val="24"/>
        </w:rPr>
        <w:t>7</w:t>
      </w:r>
    </w:p>
    <w:p w14:paraId="363C0132" w14:textId="446B0E7F" w:rsidR="00823965" w:rsidRPr="005127CE" w:rsidRDefault="004D1140">
      <w:pPr>
        <w:rPr>
          <w:rFonts w:ascii="Times New Roman" w:hAnsi="Times New Roman" w:cs="Times New Roman"/>
          <w:b/>
          <w:bCs/>
          <w:sz w:val="28"/>
          <w:szCs w:val="28"/>
        </w:rPr>
      </w:pPr>
      <w:r w:rsidRPr="005127CE">
        <w:rPr>
          <w:rFonts w:ascii="Times New Roman" w:hAnsi="Times New Roman" w:cs="Times New Roman"/>
          <w:b/>
          <w:bCs/>
          <w:sz w:val="28"/>
          <w:szCs w:val="28"/>
        </w:rPr>
        <w:t>202</w:t>
      </w:r>
      <w:r w:rsidR="00417807" w:rsidRPr="005127CE">
        <w:rPr>
          <w:rFonts w:ascii="Times New Roman" w:hAnsi="Times New Roman" w:cs="Times New Roman"/>
          <w:b/>
          <w:bCs/>
          <w:sz w:val="28"/>
          <w:szCs w:val="28"/>
        </w:rPr>
        <w:t>5</w:t>
      </w:r>
      <w:r w:rsidRPr="005127CE">
        <w:rPr>
          <w:rFonts w:ascii="Times New Roman" w:hAnsi="Times New Roman" w:cs="Times New Roman"/>
          <w:b/>
          <w:bCs/>
          <w:sz w:val="28"/>
          <w:szCs w:val="28"/>
        </w:rPr>
        <w:t xml:space="preserve"> m. š</w:t>
      </w:r>
      <w:r w:rsidR="00B022D8" w:rsidRPr="005127CE">
        <w:rPr>
          <w:rFonts w:ascii="Times New Roman" w:hAnsi="Times New Roman" w:cs="Times New Roman"/>
          <w:b/>
          <w:bCs/>
          <w:sz w:val="28"/>
          <w:szCs w:val="28"/>
        </w:rPr>
        <w:t>vietimo įstaigų veiklos stebėsenos programa</w:t>
      </w:r>
    </w:p>
    <w:tbl>
      <w:tblPr>
        <w:tblStyle w:val="Lentelstinklelis"/>
        <w:tblW w:w="14879" w:type="dxa"/>
        <w:tblLook w:val="04A0" w:firstRow="1" w:lastRow="0" w:firstColumn="1" w:lastColumn="0" w:noHBand="0" w:noVBand="1"/>
      </w:tblPr>
      <w:tblGrid>
        <w:gridCol w:w="2122"/>
        <w:gridCol w:w="2788"/>
        <w:gridCol w:w="3023"/>
        <w:gridCol w:w="1887"/>
        <w:gridCol w:w="1941"/>
        <w:gridCol w:w="3118"/>
      </w:tblGrid>
      <w:tr w:rsidR="00EE1DEB" w:rsidRPr="005127CE" w14:paraId="1C8F12D7" w14:textId="77777777" w:rsidTr="00C52809">
        <w:tc>
          <w:tcPr>
            <w:tcW w:w="2122" w:type="dxa"/>
          </w:tcPr>
          <w:p w14:paraId="37069C81"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Patikros forma</w:t>
            </w:r>
          </w:p>
        </w:tc>
        <w:tc>
          <w:tcPr>
            <w:tcW w:w="2788" w:type="dxa"/>
          </w:tcPr>
          <w:p w14:paraId="13AEC354"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Patikros tema</w:t>
            </w:r>
          </w:p>
        </w:tc>
        <w:tc>
          <w:tcPr>
            <w:tcW w:w="3023" w:type="dxa"/>
          </w:tcPr>
          <w:p w14:paraId="3288256A"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Dokumentai</w:t>
            </w:r>
          </w:p>
        </w:tc>
        <w:tc>
          <w:tcPr>
            <w:tcW w:w="1887" w:type="dxa"/>
          </w:tcPr>
          <w:p w14:paraId="2C101A51"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Patikros laikas</w:t>
            </w:r>
          </w:p>
        </w:tc>
        <w:tc>
          <w:tcPr>
            <w:tcW w:w="1941" w:type="dxa"/>
          </w:tcPr>
          <w:p w14:paraId="00CE61DB"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Atsakingas</w:t>
            </w:r>
          </w:p>
        </w:tc>
        <w:tc>
          <w:tcPr>
            <w:tcW w:w="3118" w:type="dxa"/>
          </w:tcPr>
          <w:p w14:paraId="088CCC87" w14:textId="77777777" w:rsidR="00B022D8" w:rsidRPr="005127CE" w:rsidRDefault="00B022D8">
            <w:pPr>
              <w:rPr>
                <w:rFonts w:ascii="Times New Roman" w:hAnsi="Times New Roman" w:cs="Times New Roman"/>
                <w:b/>
                <w:bCs/>
                <w:sz w:val="24"/>
                <w:szCs w:val="24"/>
              </w:rPr>
            </w:pPr>
            <w:r w:rsidRPr="005127CE">
              <w:rPr>
                <w:rFonts w:ascii="Times New Roman" w:hAnsi="Times New Roman" w:cs="Times New Roman"/>
                <w:b/>
                <w:bCs/>
                <w:sz w:val="24"/>
                <w:szCs w:val="24"/>
              </w:rPr>
              <w:t>Priežiūros stebėsenos rezultatų įforminimas ir aptarimas</w:t>
            </w:r>
          </w:p>
        </w:tc>
      </w:tr>
      <w:tr w:rsidR="00EE1DEB" w:rsidRPr="005127CE" w14:paraId="7E56BA51" w14:textId="77777777" w:rsidTr="00C52809">
        <w:trPr>
          <w:trHeight w:val="4438"/>
        </w:trPr>
        <w:tc>
          <w:tcPr>
            <w:tcW w:w="2122" w:type="dxa"/>
            <w:vMerge w:val="restart"/>
          </w:tcPr>
          <w:p w14:paraId="61C4141C" w14:textId="77777777" w:rsidR="00EE1DEB" w:rsidRPr="005127CE" w:rsidRDefault="00EE1DEB" w:rsidP="00B022D8">
            <w:pPr>
              <w:pStyle w:val="Sraopastraipa"/>
              <w:numPr>
                <w:ilvl w:val="0"/>
                <w:numId w:val="1"/>
              </w:numPr>
              <w:rPr>
                <w:rFonts w:ascii="Times New Roman" w:hAnsi="Times New Roman" w:cs="Times New Roman"/>
                <w:sz w:val="24"/>
                <w:szCs w:val="24"/>
              </w:rPr>
            </w:pPr>
            <w:r w:rsidRPr="005127CE">
              <w:rPr>
                <w:rFonts w:ascii="Times New Roman" w:hAnsi="Times New Roman" w:cs="Times New Roman"/>
                <w:sz w:val="24"/>
                <w:szCs w:val="24"/>
              </w:rPr>
              <w:t>Žvalgomoji patikra</w:t>
            </w:r>
          </w:p>
        </w:tc>
        <w:tc>
          <w:tcPr>
            <w:tcW w:w="2788" w:type="dxa"/>
          </w:tcPr>
          <w:p w14:paraId="3A446D29" w14:textId="0425DEA1"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1.1. Dėl Nacionalinio mokinių pasiekimų patikrinimo, Pagrindinio ugdymo pasiekimų patikrinimo, Valstybinių brandos egzaminų ir Brandos darbo organizavimo ir vykdymo</w:t>
            </w:r>
          </w:p>
        </w:tc>
        <w:tc>
          <w:tcPr>
            <w:tcW w:w="3023" w:type="dxa"/>
          </w:tcPr>
          <w:p w14:paraId="6A3242ED" w14:textId="1456F928"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Brandos egzaminų organizavimo ir vykdymo tvarkos aprašas, Valstybinių brandos egzaminų organizavimo ir vykdymo tvarkos aprašas. Brandos darbo vykdymo ir organizavimo tvarkos aprašas, Pagrindinio ugdymo pasiekimų patikrinimo organizavimo ir vykdymo tvarkos aprašas</w:t>
            </w:r>
          </w:p>
          <w:p w14:paraId="6E1C8274" w14:textId="253E783C"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Nacionalinių mokinių pasiekimų patikrinimų organizavimo ir vykdymo tvarkos aprašas</w:t>
            </w:r>
          </w:p>
        </w:tc>
        <w:tc>
          <w:tcPr>
            <w:tcW w:w="1887" w:type="dxa"/>
          </w:tcPr>
          <w:p w14:paraId="56C57DB2" w14:textId="1B49753B"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 xml:space="preserve">Sausis–gegužė </w:t>
            </w:r>
          </w:p>
        </w:tc>
        <w:tc>
          <w:tcPr>
            <w:tcW w:w="1941" w:type="dxa"/>
          </w:tcPr>
          <w:p w14:paraId="0AC96F1E" w14:textId="77777777" w:rsidR="00EE1DEB" w:rsidRPr="005127CE" w:rsidRDefault="00EE1DEB" w:rsidP="000C0ED6">
            <w:pPr>
              <w:rPr>
                <w:rFonts w:ascii="Times New Roman" w:hAnsi="Times New Roman" w:cs="Times New Roman"/>
                <w:sz w:val="24"/>
                <w:szCs w:val="24"/>
              </w:rPr>
            </w:pPr>
            <w:r w:rsidRPr="005127CE">
              <w:rPr>
                <w:rFonts w:ascii="Times New Roman" w:hAnsi="Times New Roman" w:cs="Times New Roman"/>
                <w:sz w:val="24"/>
                <w:szCs w:val="24"/>
              </w:rPr>
              <w:t>A. Petravičius</w:t>
            </w:r>
          </w:p>
          <w:p w14:paraId="56A9C87E" w14:textId="08EE134D" w:rsidR="00EE1DEB" w:rsidRPr="005127CE" w:rsidRDefault="00EE1DEB" w:rsidP="000C0ED6">
            <w:pPr>
              <w:rPr>
                <w:rFonts w:ascii="Times New Roman" w:hAnsi="Times New Roman" w:cs="Times New Roman"/>
                <w:sz w:val="24"/>
                <w:szCs w:val="24"/>
              </w:rPr>
            </w:pPr>
            <w:r w:rsidRPr="005127CE">
              <w:rPr>
                <w:rFonts w:ascii="Times New Roman" w:hAnsi="Times New Roman" w:cs="Times New Roman"/>
                <w:sz w:val="24"/>
                <w:szCs w:val="24"/>
              </w:rPr>
              <w:t>R. Mickienė</w:t>
            </w:r>
          </w:p>
          <w:p w14:paraId="2ED305C9" w14:textId="77777777" w:rsidR="00EE1DEB" w:rsidRPr="005127CE" w:rsidRDefault="00EE1DEB" w:rsidP="000C0ED6">
            <w:pPr>
              <w:rPr>
                <w:rFonts w:ascii="Times New Roman" w:hAnsi="Times New Roman" w:cs="Times New Roman"/>
                <w:sz w:val="24"/>
                <w:szCs w:val="24"/>
              </w:rPr>
            </w:pPr>
            <w:r w:rsidRPr="005127CE">
              <w:rPr>
                <w:rFonts w:ascii="Times New Roman" w:hAnsi="Times New Roman" w:cs="Times New Roman"/>
                <w:sz w:val="24"/>
                <w:szCs w:val="24"/>
              </w:rPr>
              <w:t>R. Žvaginienė</w:t>
            </w:r>
          </w:p>
          <w:p w14:paraId="717402AF" w14:textId="3EF3C635" w:rsidR="00EE1DEB" w:rsidRPr="005127CE" w:rsidRDefault="00EE1DEB" w:rsidP="000C0ED6">
            <w:pPr>
              <w:rPr>
                <w:rFonts w:ascii="Times New Roman" w:hAnsi="Times New Roman" w:cs="Times New Roman"/>
                <w:sz w:val="24"/>
                <w:szCs w:val="24"/>
              </w:rPr>
            </w:pPr>
            <w:r w:rsidRPr="005127CE">
              <w:rPr>
                <w:rFonts w:ascii="Times New Roman" w:hAnsi="Times New Roman" w:cs="Times New Roman"/>
                <w:sz w:val="24"/>
                <w:szCs w:val="24"/>
              </w:rPr>
              <w:t>V. Gudzevičienė</w:t>
            </w:r>
          </w:p>
        </w:tc>
        <w:tc>
          <w:tcPr>
            <w:tcW w:w="3118" w:type="dxa"/>
          </w:tcPr>
          <w:p w14:paraId="5F27106D" w14:textId="77777777"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Pokalbiai su mokyklų vadovais, patikros aktai pagal poreikį</w:t>
            </w:r>
          </w:p>
          <w:p w14:paraId="78AE16E3" w14:textId="77777777" w:rsidR="00EE1DEB" w:rsidRPr="005127CE" w:rsidRDefault="00EE1DEB">
            <w:pPr>
              <w:rPr>
                <w:rFonts w:ascii="Times New Roman" w:hAnsi="Times New Roman" w:cs="Times New Roman"/>
                <w:sz w:val="24"/>
                <w:szCs w:val="24"/>
              </w:rPr>
            </w:pPr>
          </w:p>
          <w:p w14:paraId="0A97D86E" w14:textId="49B0F4E1" w:rsidR="00EE1DEB" w:rsidRPr="005127CE" w:rsidRDefault="00EE1DEB">
            <w:pPr>
              <w:rPr>
                <w:rFonts w:ascii="Times New Roman" w:hAnsi="Times New Roman" w:cs="Times New Roman"/>
                <w:sz w:val="24"/>
                <w:szCs w:val="24"/>
              </w:rPr>
            </w:pPr>
            <w:r w:rsidRPr="005127CE">
              <w:rPr>
                <w:rFonts w:ascii="Times New Roman" w:hAnsi="Times New Roman" w:cs="Times New Roman"/>
                <w:sz w:val="24"/>
                <w:szCs w:val="24"/>
              </w:rPr>
              <w:t>Mokinių pasiekimų patikrinimo, PUPP ir VBE rezultatų analizė ir apibendrinimas vadovų pasitarimuose</w:t>
            </w:r>
          </w:p>
        </w:tc>
      </w:tr>
      <w:tr w:rsidR="00EE1DEB" w:rsidRPr="005127CE" w14:paraId="59C69636" w14:textId="77777777" w:rsidTr="00C52809">
        <w:tc>
          <w:tcPr>
            <w:tcW w:w="2122" w:type="dxa"/>
            <w:vMerge/>
          </w:tcPr>
          <w:p w14:paraId="2E646C4A" w14:textId="77777777" w:rsidR="00EE1DEB" w:rsidRPr="005127CE" w:rsidRDefault="00EE1DEB" w:rsidP="009F29AB">
            <w:pPr>
              <w:rPr>
                <w:rFonts w:ascii="Times New Roman" w:hAnsi="Times New Roman" w:cs="Times New Roman"/>
                <w:sz w:val="24"/>
                <w:szCs w:val="24"/>
              </w:rPr>
            </w:pPr>
          </w:p>
        </w:tc>
        <w:tc>
          <w:tcPr>
            <w:tcW w:w="2788" w:type="dxa"/>
          </w:tcPr>
          <w:p w14:paraId="5D9B14BE" w14:textId="6504D032"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1.2. Dėl neformaliojo vaikų švietimo (NVŠ) programų įgyvendinimo  (NVŠ krepšelis)</w:t>
            </w:r>
          </w:p>
        </w:tc>
        <w:tc>
          <w:tcPr>
            <w:tcW w:w="3023" w:type="dxa"/>
          </w:tcPr>
          <w:p w14:paraId="2177B044" w14:textId="70E60D50"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Neformaliojo vaikų švietimo programų finansavimo ir administravimo tvarkos aprašas</w:t>
            </w:r>
          </w:p>
        </w:tc>
        <w:tc>
          <w:tcPr>
            <w:tcW w:w="1887" w:type="dxa"/>
          </w:tcPr>
          <w:p w14:paraId="07B1E21F" w14:textId="4499BB06"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Sausis-gruodis</w:t>
            </w:r>
          </w:p>
        </w:tc>
        <w:tc>
          <w:tcPr>
            <w:tcW w:w="1941" w:type="dxa"/>
          </w:tcPr>
          <w:p w14:paraId="54AF4DFE" w14:textId="77777777"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V. Gudzevičienė,</w:t>
            </w:r>
          </w:p>
          <w:p w14:paraId="4E3C6254" w14:textId="0852BB4F"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D. Pareigienė</w:t>
            </w:r>
          </w:p>
        </w:tc>
        <w:tc>
          <w:tcPr>
            <w:tcW w:w="3118" w:type="dxa"/>
          </w:tcPr>
          <w:p w14:paraId="7D950AA7" w14:textId="594C7020"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Neformaliojo vaikų švietimo ataskaitos</w:t>
            </w:r>
          </w:p>
        </w:tc>
      </w:tr>
      <w:tr w:rsidR="00EE1DEB" w:rsidRPr="005127CE" w14:paraId="1FC32728" w14:textId="77777777" w:rsidTr="00C52809">
        <w:tc>
          <w:tcPr>
            <w:tcW w:w="2122" w:type="dxa"/>
            <w:vMerge/>
          </w:tcPr>
          <w:p w14:paraId="327D8509" w14:textId="77777777" w:rsidR="00EE1DEB" w:rsidRPr="005127CE" w:rsidRDefault="00EE1DEB" w:rsidP="009F29AB">
            <w:pPr>
              <w:rPr>
                <w:rFonts w:ascii="Times New Roman" w:hAnsi="Times New Roman" w:cs="Times New Roman"/>
                <w:sz w:val="24"/>
                <w:szCs w:val="24"/>
              </w:rPr>
            </w:pPr>
          </w:p>
        </w:tc>
        <w:tc>
          <w:tcPr>
            <w:tcW w:w="2788" w:type="dxa"/>
          </w:tcPr>
          <w:p w14:paraId="146587EF" w14:textId="07CF1DE6"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1.3. Dėl švietimo įstaigų 2025 m. veiklos planų</w:t>
            </w:r>
          </w:p>
        </w:tc>
        <w:tc>
          <w:tcPr>
            <w:tcW w:w="3023" w:type="dxa"/>
          </w:tcPr>
          <w:p w14:paraId="161C9140" w14:textId="168EEC12"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LR švietimo įstatymas</w:t>
            </w:r>
          </w:p>
        </w:tc>
        <w:tc>
          <w:tcPr>
            <w:tcW w:w="1887" w:type="dxa"/>
          </w:tcPr>
          <w:p w14:paraId="60FD0B48" w14:textId="4504D081"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Kovas</w:t>
            </w:r>
          </w:p>
        </w:tc>
        <w:tc>
          <w:tcPr>
            <w:tcW w:w="1941" w:type="dxa"/>
          </w:tcPr>
          <w:p w14:paraId="7345C7B7" w14:textId="77777777"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V. Gudzevičienė</w:t>
            </w:r>
          </w:p>
          <w:p w14:paraId="66A6AA7C" w14:textId="08793D90"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Vyr. specialistai</w:t>
            </w:r>
          </w:p>
        </w:tc>
        <w:tc>
          <w:tcPr>
            <w:tcW w:w="3118" w:type="dxa"/>
          </w:tcPr>
          <w:p w14:paraId="22E75561" w14:textId="0C2973E9" w:rsidR="00EE1DEB" w:rsidRPr="005127CE" w:rsidRDefault="00EE1DEB" w:rsidP="009F29AB">
            <w:pPr>
              <w:rPr>
                <w:rFonts w:ascii="Times New Roman" w:hAnsi="Times New Roman" w:cs="Times New Roman"/>
                <w:sz w:val="24"/>
                <w:szCs w:val="24"/>
              </w:rPr>
            </w:pPr>
            <w:r w:rsidRPr="005127CE">
              <w:rPr>
                <w:rFonts w:ascii="Times New Roman" w:hAnsi="Times New Roman" w:cs="Times New Roman"/>
                <w:sz w:val="24"/>
                <w:szCs w:val="24"/>
              </w:rPr>
              <w:t>Pokalbiai su įstaigos vadovais</w:t>
            </w:r>
          </w:p>
        </w:tc>
      </w:tr>
      <w:tr w:rsidR="00C52809" w:rsidRPr="005127CE" w14:paraId="43940A8A" w14:textId="77777777" w:rsidTr="008A69ED">
        <w:trPr>
          <w:trHeight w:val="2543"/>
        </w:trPr>
        <w:tc>
          <w:tcPr>
            <w:tcW w:w="2122" w:type="dxa"/>
            <w:vMerge/>
          </w:tcPr>
          <w:p w14:paraId="1CCCC244" w14:textId="77777777" w:rsidR="00C52809" w:rsidRPr="005127CE" w:rsidRDefault="00C52809" w:rsidP="009F29AB">
            <w:pPr>
              <w:rPr>
                <w:rFonts w:ascii="Times New Roman" w:hAnsi="Times New Roman" w:cs="Times New Roman"/>
                <w:sz w:val="24"/>
                <w:szCs w:val="24"/>
              </w:rPr>
            </w:pPr>
          </w:p>
        </w:tc>
        <w:tc>
          <w:tcPr>
            <w:tcW w:w="2788" w:type="dxa"/>
          </w:tcPr>
          <w:p w14:paraId="76456239" w14:textId="26774127"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1.4. Dėl mokyklų bibliotekų veiklos organizavimo</w:t>
            </w:r>
          </w:p>
        </w:tc>
        <w:tc>
          <w:tcPr>
            <w:tcW w:w="3023" w:type="dxa"/>
          </w:tcPr>
          <w:p w14:paraId="69A037A9" w14:textId="77777777"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LR bibliotekų</w:t>
            </w:r>
          </w:p>
          <w:p w14:paraId="42843BCA" w14:textId="77777777"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įstatymas</w:t>
            </w:r>
          </w:p>
          <w:p w14:paraId="65F695B6" w14:textId="77777777"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1995 m. birželio 6 d. Nr. I-920</w:t>
            </w:r>
          </w:p>
          <w:p w14:paraId="5ED61566" w14:textId="3FDA6572"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(įstatymo nauja redakcija nuo 2004 08 03 pagal LR 2004 07 15 įstatymą Nr. IX-2378)</w:t>
            </w:r>
          </w:p>
        </w:tc>
        <w:tc>
          <w:tcPr>
            <w:tcW w:w="1887" w:type="dxa"/>
          </w:tcPr>
          <w:p w14:paraId="55FFCB16" w14:textId="38AA7FFB"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2025 m. spalis-gruodis</w:t>
            </w:r>
          </w:p>
        </w:tc>
        <w:tc>
          <w:tcPr>
            <w:tcW w:w="1941" w:type="dxa"/>
          </w:tcPr>
          <w:p w14:paraId="511EED72" w14:textId="26C6EF1D"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R. Žvaginienė</w:t>
            </w:r>
          </w:p>
        </w:tc>
        <w:tc>
          <w:tcPr>
            <w:tcW w:w="3118" w:type="dxa"/>
          </w:tcPr>
          <w:p w14:paraId="2A88222E" w14:textId="79F2153F"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Pokalbiai su įstaigos vadovais, bibliotekininkais</w:t>
            </w:r>
          </w:p>
        </w:tc>
      </w:tr>
      <w:tr w:rsidR="00EE1DEB" w:rsidRPr="005127CE" w14:paraId="6C520167" w14:textId="77777777" w:rsidTr="00C52809">
        <w:tc>
          <w:tcPr>
            <w:tcW w:w="2122" w:type="dxa"/>
            <w:vMerge/>
          </w:tcPr>
          <w:p w14:paraId="7930C9F7" w14:textId="77777777" w:rsidR="00EE1DEB" w:rsidRPr="005127CE" w:rsidRDefault="00EE1DEB" w:rsidP="00417807">
            <w:pPr>
              <w:rPr>
                <w:rFonts w:ascii="Times New Roman" w:hAnsi="Times New Roman" w:cs="Times New Roman"/>
                <w:sz w:val="24"/>
                <w:szCs w:val="24"/>
              </w:rPr>
            </w:pPr>
          </w:p>
        </w:tc>
        <w:tc>
          <w:tcPr>
            <w:tcW w:w="2788" w:type="dxa"/>
          </w:tcPr>
          <w:p w14:paraId="5FC1026A" w14:textId="7DADAE31"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1.</w:t>
            </w:r>
            <w:r w:rsidR="00C52809" w:rsidRPr="005127CE">
              <w:rPr>
                <w:rFonts w:ascii="Times New Roman" w:hAnsi="Times New Roman" w:cs="Times New Roman"/>
                <w:sz w:val="24"/>
                <w:szCs w:val="24"/>
              </w:rPr>
              <w:t>5</w:t>
            </w:r>
            <w:r w:rsidRPr="005127CE">
              <w:rPr>
                <w:rFonts w:ascii="Times New Roman" w:hAnsi="Times New Roman" w:cs="Times New Roman"/>
                <w:sz w:val="24"/>
                <w:szCs w:val="24"/>
              </w:rPr>
              <w:t>. Dėl 2025–2026 m. m. ugdymo planų projektų</w:t>
            </w:r>
          </w:p>
        </w:tc>
        <w:tc>
          <w:tcPr>
            <w:tcW w:w="3023" w:type="dxa"/>
          </w:tcPr>
          <w:p w14:paraId="0A8675C0" w14:textId="38D75ADC"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Pradinio, pagrindinio ir vidurinio ugdymo programų bendrieji planai</w:t>
            </w:r>
          </w:p>
        </w:tc>
        <w:tc>
          <w:tcPr>
            <w:tcW w:w="1887" w:type="dxa"/>
          </w:tcPr>
          <w:p w14:paraId="63600709" w14:textId="08FE4850"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Birželis-rugpjūtis</w:t>
            </w:r>
          </w:p>
        </w:tc>
        <w:tc>
          <w:tcPr>
            <w:tcW w:w="1941" w:type="dxa"/>
          </w:tcPr>
          <w:p w14:paraId="4538255E" w14:textId="77777777"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V. Gudzevičienė</w:t>
            </w:r>
          </w:p>
          <w:p w14:paraId="75FADEA0" w14:textId="21442995"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Vyr. specialistai</w:t>
            </w:r>
          </w:p>
        </w:tc>
        <w:tc>
          <w:tcPr>
            <w:tcW w:w="3118" w:type="dxa"/>
          </w:tcPr>
          <w:p w14:paraId="343B91B8" w14:textId="32ADBC9A"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Pokalbiai su įstaigos vadovais</w:t>
            </w:r>
          </w:p>
        </w:tc>
      </w:tr>
      <w:tr w:rsidR="00C52809" w:rsidRPr="005127CE" w14:paraId="21FBAA70" w14:textId="77777777" w:rsidTr="000D6273">
        <w:trPr>
          <w:trHeight w:val="828"/>
        </w:trPr>
        <w:tc>
          <w:tcPr>
            <w:tcW w:w="2122" w:type="dxa"/>
            <w:vMerge/>
          </w:tcPr>
          <w:p w14:paraId="38AED8EE" w14:textId="77777777" w:rsidR="00C52809" w:rsidRPr="005127CE" w:rsidRDefault="00C52809" w:rsidP="00417807">
            <w:pPr>
              <w:rPr>
                <w:rFonts w:ascii="Times New Roman" w:hAnsi="Times New Roman" w:cs="Times New Roman"/>
                <w:sz w:val="24"/>
                <w:szCs w:val="24"/>
              </w:rPr>
            </w:pPr>
          </w:p>
        </w:tc>
        <w:tc>
          <w:tcPr>
            <w:tcW w:w="2788" w:type="dxa"/>
          </w:tcPr>
          <w:p w14:paraId="26C4E72C" w14:textId="2BCB16C6"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1.6. Dėl vaikų vasaros poilsio programų įgyvendinimo</w:t>
            </w:r>
          </w:p>
        </w:tc>
        <w:tc>
          <w:tcPr>
            <w:tcW w:w="3023" w:type="dxa"/>
          </w:tcPr>
          <w:p w14:paraId="6AE54C1D" w14:textId="258EA00C"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Vaikų vasaros poilsio sutartys su programų vykdytojais</w:t>
            </w:r>
          </w:p>
        </w:tc>
        <w:tc>
          <w:tcPr>
            <w:tcW w:w="1887" w:type="dxa"/>
          </w:tcPr>
          <w:p w14:paraId="79A5D929" w14:textId="6B9EBCAE"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Birželis-rugpjūtis</w:t>
            </w:r>
          </w:p>
        </w:tc>
        <w:tc>
          <w:tcPr>
            <w:tcW w:w="1941" w:type="dxa"/>
          </w:tcPr>
          <w:p w14:paraId="6A88F7FF" w14:textId="09C2BB2F"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D. Pareigienė</w:t>
            </w:r>
          </w:p>
        </w:tc>
        <w:tc>
          <w:tcPr>
            <w:tcW w:w="3118" w:type="dxa"/>
          </w:tcPr>
          <w:p w14:paraId="239EE674" w14:textId="39A98610" w:rsidR="00C52809"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Patikros ataskaitos forma</w:t>
            </w:r>
          </w:p>
        </w:tc>
      </w:tr>
      <w:tr w:rsidR="00EE1DEB" w:rsidRPr="005127CE" w14:paraId="5CF60CA9" w14:textId="77777777" w:rsidTr="00C52809">
        <w:tc>
          <w:tcPr>
            <w:tcW w:w="2122" w:type="dxa"/>
            <w:vMerge/>
          </w:tcPr>
          <w:p w14:paraId="7FE7D0C8" w14:textId="77777777" w:rsidR="00EE1DEB" w:rsidRPr="005127CE" w:rsidRDefault="00EE1DEB" w:rsidP="00417807">
            <w:pPr>
              <w:rPr>
                <w:rFonts w:ascii="Times New Roman" w:hAnsi="Times New Roman" w:cs="Times New Roman"/>
                <w:sz w:val="24"/>
                <w:szCs w:val="24"/>
              </w:rPr>
            </w:pPr>
          </w:p>
        </w:tc>
        <w:tc>
          <w:tcPr>
            <w:tcW w:w="2788" w:type="dxa"/>
          </w:tcPr>
          <w:p w14:paraId="7B417599" w14:textId="040D19C1"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1.</w:t>
            </w:r>
            <w:r w:rsidR="00C52809" w:rsidRPr="005127CE">
              <w:rPr>
                <w:rFonts w:ascii="Times New Roman" w:hAnsi="Times New Roman" w:cs="Times New Roman"/>
                <w:sz w:val="24"/>
                <w:szCs w:val="24"/>
              </w:rPr>
              <w:t>7</w:t>
            </w:r>
            <w:r w:rsidRPr="005127CE">
              <w:rPr>
                <w:rFonts w:ascii="Times New Roman" w:hAnsi="Times New Roman" w:cs="Times New Roman"/>
                <w:sz w:val="24"/>
                <w:szCs w:val="24"/>
              </w:rPr>
              <w:t>. Dėl projekto „Mokinių</w:t>
            </w:r>
            <w:r w:rsidRPr="005127CE">
              <w:rPr>
                <w:rFonts w:ascii="Times New Roman" w:hAnsi="Times New Roman" w:cs="Times New Roman"/>
                <w:b/>
                <w:bCs/>
                <w:sz w:val="24"/>
                <w:szCs w:val="24"/>
              </w:rPr>
              <w:t xml:space="preserve"> </w:t>
            </w:r>
            <w:r w:rsidRPr="005127CE">
              <w:rPr>
                <w:rFonts w:ascii="Times New Roman" w:hAnsi="Times New Roman" w:cs="Times New Roman"/>
                <w:sz w:val="24"/>
                <w:szCs w:val="24"/>
              </w:rPr>
              <w:t>įvairovei atvirų grupių, klasių sudarymas ir ugdymo organizavimas jose“</w:t>
            </w:r>
          </w:p>
        </w:tc>
        <w:tc>
          <w:tcPr>
            <w:tcW w:w="3023" w:type="dxa"/>
          </w:tcPr>
          <w:p w14:paraId="194972FC" w14:textId="497711C6"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Švietimo, mokslo ir sporto ministro 2023 m. gegužės 2 d. įsakymas Nr. V-615 „Dėl Mokinių įvairovei atvirų grupių, klasių sudarymo ir ugdymo organizavimo jose, tvarkos ir finansavimo sąlygų aprašo patvirtinimo“</w:t>
            </w:r>
          </w:p>
        </w:tc>
        <w:tc>
          <w:tcPr>
            <w:tcW w:w="1887" w:type="dxa"/>
          </w:tcPr>
          <w:p w14:paraId="31CCDF86" w14:textId="36A81B34" w:rsidR="00EE1DEB" w:rsidRPr="005127CE" w:rsidRDefault="00C52809" w:rsidP="00417807">
            <w:pPr>
              <w:rPr>
                <w:rFonts w:ascii="Times New Roman" w:hAnsi="Times New Roman" w:cs="Times New Roman"/>
                <w:sz w:val="24"/>
                <w:szCs w:val="24"/>
              </w:rPr>
            </w:pPr>
            <w:r w:rsidRPr="005127CE">
              <w:rPr>
                <w:rFonts w:ascii="Times New Roman" w:hAnsi="Times New Roman" w:cs="Times New Roman"/>
                <w:sz w:val="24"/>
                <w:szCs w:val="24"/>
              </w:rPr>
              <w:t>Gegužė–birželis</w:t>
            </w:r>
          </w:p>
        </w:tc>
        <w:tc>
          <w:tcPr>
            <w:tcW w:w="1941" w:type="dxa"/>
          </w:tcPr>
          <w:p w14:paraId="1BA7F771" w14:textId="7A81CF76"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I. Barbšienė</w:t>
            </w:r>
          </w:p>
        </w:tc>
        <w:tc>
          <w:tcPr>
            <w:tcW w:w="3118" w:type="dxa"/>
          </w:tcPr>
          <w:p w14:paraId="15CC62C6" w14:textId="7E0D0435" w:rsidR="00EE1DEB" w:rsidRPr="005127CE" w:rsidRDefault="00EE1DEB" w:rsidP="00417807">
            <w:pPr>
              <w:rPr>
                <w:rFonts w:ascii="Times New Roman" w:hAnsi="Times New Roman" w:cs="Times New Roman"/>
                <w:sz w:val="24"/>
                <w:szCs w:val="24"/>
              </w:rPr>
            </w:pPr>
            <w:r w:rsidRPr="005127CE">
              <w:rPr>
                <w:rFonts w:ascii="Times New Roman" w:hAnsi="Times New Roman" w:cs="Times New Roman"/>
                <w:sz w:val="24"/>
                <w:szCs w:val="24"/>
              </w:rPr>
              <w:t>Pokalbiai su įstaigos vadovais (Gargždų „Minijos“ progimnazija, Dovilų pagrindinė mokykla)</w:t>
            </w:r>
          </w:p>
        </w:tc>
      </w:tr>
      <w:tr w:rsidR="00EE1DEB" w:rsidRPr="005127CE" w14:paraId="700DFF01" w14:textId="77777777" w:rsidTr="00C52809">
        <w:trPr>
          <w:trHeight w:val="828"/>
        </w:trPr>
        <w:tc>
          <w:tcPr>
            <w:tcW w:w="2122" w:type="dxa"/>
            <w:vMerge/>
          </w:tcPr>
          <w:p w14:paraId="15F3E1F5" w14:textId="77777777" w:rsidR="00EE1DEB" w:rsidRPr="005127CE" w:rsidRDefault="00EE1DEB" w:rsidP="002D4435">
            <w:pPr>
              <w:pStyle w:val="Sraopastraipa"/>
              <w:numPr>
                <w:ilvl w:val="0"/>
                <w:numId w:val="1"/>
              </w:numPr>
              <w:rPr>
                <w:rFonts w:ascii="Times New Roman" w:hAnsi="Times New Roman" w:cs="Times New Roman"/>
                <w:sz w:val="24"/>
                <w:szCs w:val="24"/>
              </w:rPr>
            </w:pPr>
          </w:p>
        </w:tc>
        <w:tc>
          <w:tcPr>
            <w:tcW w:w="2788" w:type="dxa"/>
          </w:tcPr>
          <w:p w14:paraId="48303CE9" w14:textId="523E45B0" w:rsidR="00EE1DEB" w:rsidRPr="005127CE" w:rsidRDefault="00EE1DEB" w:rsidP="002D4435">
            <w:pPr>
              <w:rPr>
                <w:rFonts w:ascii="Times New Roman" w:hAnsi="Times New Roman" w:cs="Times New Roman"/>
                <w:sz w:val="24"/>
                <w:szCs w:val="24"/>
              </w:rPr>
            </w:pPr>
            <w:r w:rsidRPr="005127CE">
              <w:rPr>
                <w:rFonts w:ascii="Times New Roman" w:hAnsi="Times New Roman" w:cs="Times New Roman"/>
                <w:sz w:val="24"/>
                <w:szCs w:val="24"/>
              </w:rPr>
              <w:t>1.</w:t>
            </w:r>
            <w:r w:rsidR="00C52809" w:rsidRPr="005127CE">
              <w:rPr>
                <w:rFonts w:ascii="Times New Roman" w:hAnsi="Times New Roman" w:cs="Times New Roman"/>
                <w:sz w:val="24"/>
                <w:szCs w:val="24"/>
              </w:rPr>
              <w:t>8</w:t>
            </w:r>
            <w:r w:rsidRPr="005127CE">
              <w:rPr>
                <w:rFonts w:ascii="Times New Roman" w:hAnsi="Times New Roman" w:cs="Times New Roman"/>
                <w:sz w:val="24"/>
                <w:szCs w:val="24"/>
              </w:rPr>
              <w:t>. Dėl ugdymo proceso organizavimo Gargždų „Minijos“ progimnazijos Gobergiškės skyriuje.</w:t>
            </w:r>
          </w:p>
        </w:tc>
        <w:tc>
          <w:tcPr>
            <w:tcW w:w="3023" w:type="dxa"/>
          </w:tcPr>
          <w:p w14:paraId="7D9D865D" w14:textId="0FC6F453" w:rsidR="00EE1DEB" w:rsidRPr="005127CE" w:rsidRDefault="00EE1DEB" w:rsidP="002D4435">
            <w:pPr>
              <w:rPr>
                <w:rFonts w:ascii="Times New Roman" w:hAnsi="Times New Roman" w:cs="Times New Roman"/>
                <w:sz w:val="24"/>
                <w:szCs w:val="24"/>
              </w:rPr>
            </w:pPr>
            <w:r w:rsidRPr="005127CE">
              <w:rPr>
                <w:rFonts w:ascii="Times New Roman" w:hAnsi="Times New Roman" w:cs="Times New Roman"/>
                <w:sz w:val="24"/>
                <w:szCs w:val="24"/>
              </w:rPr>
              <w:t>Priešmokyklinį ir pradinį ugdymą reglamentuojantys dokumentai</w:t>
            </w:r>
          </w:p>
        </w:tc>
        <w:tc>
          <w:tcPr>
            <w:tcW w:w="1887" w:type="dxa"/>
          </w:tcPr>
          <w:p w14:paraId="1F38A82E" w14:textId="5E97DACF" w:rsidR="00EE1DEB" w:rsidRPr="005127CE" w:rsidRDefault="00EE1DEB" w:rsidP="002D4435">
            <w:pPr>
              <w:rPr>
                <w:rFonts w:ascii="Times New Roman" w:hAnsi="Times New Roman" w:cs="Times New Roman"/>
                <w:sz w:val="24"/>
                <w:szCs w:val="24"/>
              </w:rPr>
            </w:pPr>
            <w:r w:rsidRPr="005127CE">
              <w:rPr>
                <w:rFonts w:ascii="Times New Roman" w:hAnsi="Times New Roman" w:cs="Times New Roman"/>
                <w:sz w:val="24"/>
                <w:szCs w:val="24"/>
              </w:rPr>
              <w:t>Gegužė</w:t>
            </w:r>
          </w:p>
        </w:tc>
        <w:tc>
          <w:tcPr>
            <w:tcW w:w="1941" w:type="dxa"/>
          </w:tcPr>
          <w:p w14:paraId="5B98B311" w14:textId="02B21C0F" w:rsidR="00EE1DEB" w:rsidRPr="005127CE" w:rsidRDefault="00EE1DEB" w:rsidP="002D4435">
            <w:pPr>
              <w:rPr>
                <w:rFonts w:ascii="Times New Roman" w:hAnsi="Times New Roman" w:cs="Times New Roman"/>
                <w:sz w:val="24"/>
                <w:szCs w:val="24"/>
              </w:rPr>
            </w:pPr>
            <w:r w:rsidRPr="005127CE">
              <w:rPr>
                <w:rFonts w:ascii="Times New Roman" w:hAnsi="Times New Roman" w:cs="Times New Roman"/>
                <w:sz w:val="24"/>
                <w:szCs w:val="24"/>
              </w:rPr>
              <w:t>I. Barbšienė</w:t>
            </w:r>
          </w:p>
        </w:tc>
        <w:tc>
          <w:tcPr>
            <w:tcW w:w="3118" w:type="dxa"/>
          </w:tcPr>
          <w:p w14:paraId="0C1A8286" w14:textId="05EB0B4C" w:rsidR="00EE1DEB" w:rsidRPr="005127CE" w:rsidRDefault="00EE1DEB" w:rsidP="002D4435">
            <w:pPr>
              <w:rPr>
                <w:rFonts w:ascii="Times New Roman" w:hAnsi="Times New Roman" w:cs="Times New Roman"/>
                <w:sz w:val="24"/>
                <w:szCs w:val="24"/>
              </w:rPr>
            </w:pPr>
            <w:r w:rsidRPr="005127CE">
              <w:rPr>
                <w:rFonts w:ascii="Times New Roman" w:hAnsi="Times New Roman" w:cs="Times New Roman"/>
                <w:sz w:val="24"/>
                <w:szCs w:val="24"/>
              </w:rPr>
              <w:t>Pokalbiai su įstaigos vadovais Gargždų „Minijos“ progimnazijos Gobergiškės skyriaus darbuotojais.</w:t>
            </w:r>
          </w:p>
        </w:tc>
      </w:tr>
      <w:tr w:rsidR="00EE1DEB" w:rsidRPr="005127CE" w14:paraId="585FC5EF" w14:textId="77777777" w:rsidTr="00C52809">
        <w:trPr>
          <w:trHeight w:val="556"/>
        </w:trPr>
        <w:tc>
          <w:tcPr>
            <w:tcW w:w="2122" w:type="dxa"/>
            <w:vMerge/>
          </w:tcPr>
          <w:p w14:paraId="507A7C23" w14:textId="77777777" w:rsidR="00EE1DEB" w:rsidRPr="005127CE" w:rsidRDefault="00EE1DEB" w:rsidP="00220D3A">
            <w:pPr>
              <w:pStyle w:val="Sraopastraipa"/>
              <w:numPr>
                <w:ilvl w:val="0"/>
                <w:numId w:val="1"/>
              </w:numPr>
              <w:rPr>
                <w:rFonts w:ascii="Times New Roman" w:hAnsi="Times New Roman" w:cs="Times New Roman"/>
                <w:sz w:val="24"/>
                <w:szCs w:val="24"/>
              </w:rPr>
            </w:pPr>
          </w:p>
        </w:tc>
        <w:tc>
          <w:tcPr>
            <w:tcW w:w="2788" w:type="dxa"/>
          </w:tcPr>
          <w:p w14:paraId="05F9242F" w14:textId="160AA96A"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1.</w:t>
            </w:r>
            <w:r w:rsidR="00C52809" w:rsidRPr="005127CE">
              <w:rPr>
                <w:rFonts w:ascii="Times New Roman" w:hAnsi="Times New Roman" w:cs="Times New Roman"/>
                <w:sz w:val="24"/>
                <w:szCs w:val="24"/>
              </w:rPr>
              <w:t>9</w:t>
            </w:r>
            <w:r w:rsidRPr="005127CE">
              <w:rPr>
                <w:rFonts w:ascii="Times New Roman" w:hAnsi="Times New Roman" w:cs="Times New Roman"/>
                <w:sz w:val="24"/>
                <w:szCs w:val="24"/>
              </w:rPr>
              <w:t>. Dėl Mokytojų ir pagalbos mokiniui specialistų (išskyrus psichologus) atestacijos organizavimo tvarkos</w:t>
            </w:r>
          </w:p>
        </w:tc>
        <w:tc>
          <w:tcPr>
            <w:tcW w:w="3023" w:type="dxa"/>
          </w:tcPr>
          <w:p w14:paraId="41EDCDE8" w14:textId="7A3A51B2"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Dėl Mokytojų ir pagalbos mokiniui specialistų (išskyrus psichologus) atestacijos nuostatai</w:t>
            </w:r>
          </w:p>
        </w:tc>
        <w:tc>
          <w:tcPr>
            <w:tcW w:w="1887" w:type="dxa"/>
          </w:tcPr>
          <w:p w14:paraId="5B0104E9" w14:textId="499C7AC8"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Sausis-gruodis</w:t>
            </w:r>
          </w:p>
        </w:tc>
        <w:tc>
          <w:tcPr>
            <w:tcW w:w="1941" w:type="dxa"/>
          </w:tcPr>
          <w:p w14:paraId="7F0F299B" w14:textId="28F931FC"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V. Gudzevičienė,</w:t>
            </w:r>
          </w:p>
          <w:p w14:paraId="5126515C" w14:textId="03BC08E3"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Vyr. specialistai</w:t>
            </w:r>
          </w:p>
        </w:tc>
        <w:tc>
          <w:tcPr>
            <w:tcW w:w="3118" w:type="dxa"/>
          </w:tcPr>
          <w:p w14:paraId="460C13C8" w14:textId="67F7469D" w:rsidR="00EE1DEB" w:rsidRPr="005127CE" w:rsidRDefault="00EE1DEB" w:rsidP="00220D3A">
            <w:pPr>
              <w:rPr>
                <w:rFonts w:ascii="Times New Roman" w:hAnsi="Times New Roman" w:cs="Times New Roman"/>
                <w:sz w:val="24"/>
                <w:szCs w:val="24"/>
              </w:rPr>
            </w:pPr>
            <w:r w:rsidRPr="005127CE">
              <w:rPr>
                <w:rFonts w:ascii="Times New Roman" w:hAnsi="Times New Roman" w:cs="Times New Roman"/>
                <w:sz w:val="24"/>
                <w:szCs w:val="24"/>
              </w:rPr>
              <w:t>Pokalbiai su įstaigos vadovais, kurių mokytojai ir pagalbos mokiniui specialistai (išskyrus psichologus) ruošiasi atestacijai</w:t>
            </w:r>
          </w:p>
        </w:tc>
      </w:tr>
      <w:tr w:rsidR="00EE1DEB" w:rsidRPr="005127CE" w14:paraId="0279AE17" w14:textId="77777777" w:rsidTr="00C52809">
        <w:trPr>
          <w:trHeight w:val="828"/>
        </w:trPr>
        <w:tc>
          <w:tcPr>
            <w:tcW w:w="2122" w:type="dxa"/>
            <w:vMerge/>
          </w:tcPr>
          <w:p w14:paraId="788AE7BA" w14:textId="77777777" w:rsidR="00EE1DEB" w:rsidRPr="005127CE" w:rsidRDefault="00EE1DEB" w:rsidP="00110E30">
            <w:pPr>
              <w:pStyle w:val="Sraopastraipa"/>
              <w:numPr>
                <w:ilvl w:val="0"/>
                <w:numId w:val="1"/>
              </w:numPr>
              <w:rPr>
                <w:rFonts w:ascii="Times New Roman" w:hAnsi="Times New Roman" w:cs="Times New Roman"/>
                <w:sz w:val="24"/>
                <w:szCs w:val="24"/>
              </w:rPr>
            </w:pPr>
          </w:p>
        </w:tc>
        <w:tc>
          <w:tcPr>
            <w:tcW w:w="2788" w:type="dxa"/>
          </w:tcPr>
          <w:p w14:paraId="03E8BF3D" w14:textId="76498D8D" w:rsidR="00EE1DEB" w:rsidRPr="005127CE" w:rsidRDefault="00EE1DEB" w:rsidP="00110E30">
            <w:pPr>
              <w:rPr>
                <w:rFonts w:ascii="Times New Roman" w:hAnsi="Times New Roman" w:cs="Times New Roman"/>
                <w:sz w:val="24"/>
                <w:szCs w:val="24"/>
              </w:rPr>
            </w:pPr>
            <w:r w:rsidRPr="005127CE">
              <w:rPr>
                <w:rFonts w:ascii="Times New Roman" w:hAnsi="Times New Roman" w:cs="Times New Roman"/>
                <w:sz w:val="24"/>
                <w:szCs w:val="24"/>
              </w:rPr>
              <w:t>1.1</w:t>
            </w:r>
            <w:r w:rsidR="00C52809" w:rsidRPr="005127CE">
              <w:rPr>
                <w:rFonts w:ascii="Times New Roman" w:hAnsi="Times New Roman" w:cs="Times New Roman"/>
                <w:sz w:val="24"/>
                <w:szCs w:val="24"/>
              </w:rPr>
              <w:t>0</w:t>
            </w:r>
            <w:r w:rsidRPr="005127CE">
              <w:rPr>
                <w:rFonts w:ascii="Times New Roman" w:hAnsi="Times New Roman" w:cs="Times New Roman"/>
                <w:sz w:val="24"/>
                <w:szCs w:val="24"/>
              </w:rPr>
              <w:t>. Dėl mokinių nelaimingų atsitikimų fiksavimo analizės</w:t>
            </w:r>
          </w:p>
        </w:tc>
        <w:tc>
          <w:tcPr>
            <w:tcW w:w="3023" w:type="dxa"/>
          </w:tcPr>
          <w:p w14:paraId="12FD3399" w14:textId="7A1CA7E3" w:rsidR="00EE1DEB" w:rsidRPr="005127CE" w:rsidRDefault="00EE1DEB" w:rsidP="00110E30">
            <w:pPr>
              <w:rPr>
                <w:rFonts w:ascii="Times New Roman" w:hAnsi="Times New Roman" w:cs="Times New Roman"/>
                <w:sz w:val="24"/>
                <w:szCs w:val="24"/>
              </w:rPr>
            </w:pPr>
            <w:r w:rsidRPr="005127CE">
              <w:rPr>
                <w:rFonts w:ascii="Times New Roman" w:hAnsi="Times New Roman" w:cs="Times New Roman"/>
                <w:sz w:val="24"/>
                <w:szCs w:val="24"/>
              </w:rPr>
              <w:t xml:space="preserve">Mokinių, išskyrus besimokančius pagal aukštojo mokslo programas, </w:t>
            </w:r>
            <w:r w:rsidRPr="005127CE">
              <w:rPr>
                <w:rFonts w:ascii="Times New Roman" w:hAnsi="Times New Roman" w:cs="Times New Roman"/>
                <w:sz w:val="24"/>
                <w:szCs w:val="24"/>
              </w:rPr>
              <w:lastRenderedPageBreak/>
              <w:t>nelaimingų atsitikimų tyrimo, registravimo tvarkos aprašas</w:t>
            </w:r>
          </w:p>
        </w:tc>
        <w:tc>
          <w:tcPr>
            <w:tcW w:w="1887" w:type="dxa"/>
          </w:tcPr>
          <w:p w14:paraId="16B11D0C" w14:textId="5A9F8521" w:rsidR="00EE1DEB" w:rsidRPr="005127CE" w:rsidRDefault="00EE1DEB" w:rsidP="00110E30">
            <w:pPr>
              <w:rPr>
                <w:rFonts w:ascii="Times New Roman" w:hAnsi="Times New Roman" w:cs="Times New Roman"/>
                <w:sz w:val="24"/>
                <w:szCs w:val="24"/>
              </w:rPr>
            </w:pPr>
            <w:r w:rsidRPr="005127CE">
              <w:rPr>
                <w:rFonts w:ascii="Times New Roman" w:hAnsi="Times New Roman" w:cs="Times New Roman"/>
                <w:sz w:val="24"/>
                <w:szCs w:val="24"/>
              </w:rPr>
              <w:lastRenderedPageBreak/>
              <w:t>Sausis-gruodis</w:t>
            </w:r>
          </w:p>
        </w:tc>
        <w:tc>
          <w:tcPr>
            <w:tcW w:w="1941" w:type="dxa"/>
          </w:tcPr>
          <w:p w14:paraId="23B40C22" w14:textId="484D1A8F" w:rsidR="00EE1DEB" w:rsidRPr="005127CE" w:rsidRDefault="00EE1DEB" w:rsidP="00110E30">
            <w:pPr>
              <w:rPr>
                <w:rFonts w:ascii="Times New Roman" w:hAnsi="Times New Roman" w:cs="Times New Roman"/>
                <w:sz w:val="24"/>
                <w:szCs w:val="24"/>
              </w:rPr>
            </w:pPr>
            <w:r w:rsidRPr="005127CE">
              <w:rPr>
                <w:rFonts w:ascii="Times New Roman" w:hAnsi="Times New Roman" w:cs="Times New Roman"/>
                <w:sz w:val="24"/>
                <w:szCs w:val="24"/>
              </w:rPr>
              <w:t>R. Mickienė</w:t>
            </w:r>
          </w:p>
        </w:tc>
        <w:tc>
          <w:tcPr>
            <w:tcW w:w="3118" w:type="dxa"/>
          </w:tcPr>
          <w:p w14:paraId="4D4245B9" w14:textId="4D3E1E2F" w:rsidR="00EE1DEB" w:rsidRPr="005127CE" w:rsidRDefault="00EE1DEB" w:rsidP="00110E30">
            <w:pPr>
              <w:rPr>
                <w:rFonts w:ascii="Times New Roman" w:hAnsi="Times New Roman" w:cs="Times New Roman"/>
                <w:sz w:val="24"/>
                <w:szCs w:val="24"/>
              </w:rPr>
            </w:pPr>
            <w:r w:rsidRPr="005127CE">
              <w:rPr>
                <w:rFonts w:ascii="Times New Roman" w:hAnsi="Times New Roman" w:cs="Times New Roman"/>
                <w:sz w:val="24"/>
                <w:szCs w:val="24"/>
              </w:rPr>
              <w:t>Pokalbiai su įstaigų vadovais, kuriuose įvyko mokinių nelaimingi atsitikimai</w:t>
            </w:r>
          </w:p>
        </w:tc>
      </w:tr>
      <w:tr w:rsidR="00EE1DEB" w:rsidRPr="005127CE" w14:paraId="4F2C3784" w14:textId="77777777" w:rsidTr="00C52809">
        <w:trPr>
          <w:trHeight w:val="828"/>
        </w:trPr>
        <w:tc>
          <w:tcPr>
            <w:tcW w:w="2122" w:type="dxa"/>
            <w:vMerge/>
          </w:tcPr>
          <w:p w14:paraId="4C29BC4B" w14:textId="77777777" w:rsidR="00EE1DEB" w:rsidRPr="005127CE" w:rsidRDefault="00EE1DEB" w:rsidP="00C3088D">
            <w:pPr>
              <w:pStyle w:val="Sraopastraipa"/>
              <w:numPr>
                <w:ilvl w:val="0"/>
                <w:numId w:val="1"/>
              </w:numPr>
              <w:rPr>
                <w:rFonts w:ascii="Times New Roman" w:hAnsi="Times New Roman" w:cs="Times New Roman"/>
                <w:sz w:val="24"/>
                <w:szCs w:val="24"/>
              </w:rPr>
            </w:pPr>
          </w:p>
        </w:tc>
        <w:tc>
          <w:tcPr>
            <w:tcW w:w="2788" w:type="dxa"/>
          </w:tcPr>
          <w:p w14:paraId="782957EB" w14:textId="68B4A896"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1.1</w:t>
            </w:r>
            <w:r w:rsidR="00C52809" w:rsidRPr="005127CE">
              <w:rPr>
                <w:rFonts w:ascii="Times New Roman" w:hAnsi="Times New Roman" w:cs="Times New Roman"/>
                <w:sz w:val="24"/>
                <w:szCs w:val="24"/>
              </w:rPr>
              <w:t>1</w:t>
            </w:r>
            <w:r w:rsidRPr="005127CE">
              <w:rPr>
                <w:rFonts w:ascii="Times New Roman" w:hAnsi="Times New Roman" w:cs="Times New Roman"/>
                <w:sz w:val="24"/>
                <w:szCs w:val="24"/>
              </w:rPr>
              <w:t>. Dėl mokyklų internetinių svetainių struktūros atitikties teisės aktams vertinimo</w:t>
            </w:r>
          </w:p>
        </w:tc>
        <w:tc>
          <w:tcPr>
            <w:tcW w:w="3023" w:type="dxa"/>
          </w:tcPr>
          <w:p w14:paraId="651EC7EF" w14:textId="33FF3B97"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Bendrieji reikalavimai valstybės ir savivaldybių institucijų ir įstaigų interneto svetainėms ir mobilioms programoms aprašas</w:t>
            </w:r>
          </w:p>
        </w:tc>
        <w:tc>
          <w:tcPr>
            <w:tcW w:w="1887" w:type="dxa"/>
          </w:tcPr>
          <w:p w14:paraId="68E8F583" w14:textId="619DD2D7"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Rugsėjis-gruodis</w:t>
            </w:r>
          </w:p>
        </w:tc>
        <w:tc>
          <w:tcPr>
            <w:tcW w:w="1941" w:type="dxa"/>
          </w:tcPr>
          <w:p w14:paraId="17C62EAC" w14:textId="77777777"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 xml:space="preserve">Patarėjos, </w:t>
            </w:r>
          </w:p>
          <w:p w14:paraId="4C1F8CB0" w14:textId="543531D9"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Vyr. specialistai</w:t>
            </w:r>
          </w:p>
        </w:tc>
        <w:tc>
          <w:tcPr>
            <w:tcW w:w="3118" w:type="dxa"/>
          </w:tcPr>
          <w:p w14:paraId="71651D91" w14:textId="3A8560A1" w:rsidR="00EE1DEB" w:rsidRPr="005127CE" w:rsidRDefault="00EE1DEB" w:rsidP="00C3088D">
            <w:pPr>
              <w:rPr>
                <w:rFonts w:ascii="Times New Roman" w:hAnsi="Times New Roman" w:cs="Times New Roman"/>
                <w:sz w:val="24"/>
                <w:szCs w:val="24"/>
              </w:rPr>
            </w:pPr>
            <w:r w:rsidRPr="005127CE">
              <w:rPr>
                <w:rFonts w:ascii="Times New Roman" w:hAnsi="Times New Roman" w:cs="Times New Roman"/>
                <w:sz w:val="24"/>
                <w:szCs w:val="24"/>
              </w:rPr>
              <w:t>Pažyma arba pagal poreikį pokalbiai su įstaigos vadovais</w:t>
            </w:r>
          </w:p>
        </w:tc>
      </w:tr>
      <w:tr w:rsidR="00EE1DEB" w:rsidRPr="005127CE" w14:paraId="475432BA" w14:textId="77777777" w:rsidTr="00C52809">
        <w:trPr>
          <w:trHeight w:val="70"/>
        </w:trPr>
        <w:tc>
          <w:tcPr>
            <w:tcW w:w="2122" w:type="dxa"/>
          </w:tcPr>
          <w:p w14:paraId="1CC1F6DC" w14:textId="38BC8E1D" w:rsidR="00C3088D" w:rsidRPr="005127CE" w:rsidRDefault="00C3088D" w:rsidP="00C3088D">
            <w:pPr>
              <w:pStyle w:val="Sraopastraipa"/>
              <w:numPr>
                <w:ilvl w:val="0"/>
                <w:numId w:val="1"/>
              </w:numPr>
              <w:rPr>
                <w:rFonts w:ascii="Times New Roman" w:hAnsi="Times New Roman" w:cs="Times New Roman"/>
                <w:sz w:val="24"/>
                <w:szCs w:val="24"/>
              </w:rPr>
            </w:pPr>
            <w:r w:rsidRPr="005127CE">
              <w:rPr>
                <w:rFonts w:ascii="Times New Roman" w:hAnsi="Times New Roman" w:cs="Times New Roman"/>
                <w:sz w:val="24"/>
                <w:szCs w:val="24"/>
              </w:rPr>
              <w:t>Teminė kontrolė</w:t>
            </w:r>
          </w:p>
        </w:tc>
        <w:tc>
          <w:tcPr>
            <w:tcW w:w="2788" w:type="dxa"/>
          </w:tcPr>
          <w:p w14:paraId="58281AC8" w14:textId="7AB16C46" w:rsidR="00C3088D" w:rsidRPr="005127CE" w:rsidRDefault="00C3088D" w:rsidP="00C3088D">
            <w:pPr>
              <w:rPr>
                <w:rFonts w:ascii="Times New Roman" w:hAnsi="Times New Roman" w:cs="Times New Roman"/>
                <w:sz w:val="24"/>
                <w:szCs w:val="24"/>
              </w:rPr>
            </w:pPr>
            <w:r w:rsidRPr="005127CE">
              <w:rPr>
                <w:rFonts w:ascii="Times New Roman" w:hAnsi="Times New Roman" w:cs="Times New Roman"/>
                <w:sz w:val="24"/>
                <w:szCs w:val="24"/>
              </w:rPr>
              <w:t>Dėl Vaiko gerovės komisijos darbo įvertinimo</w:t>
            </w:r>
          </w:p>
        </w:tc>
        <w:tc>
          <w:tcPr>
            <w:tcW w:w="3023" w:type="dxa"/>
          </w:tcPr>
          <w:p w14:paraId="159841BA" w14:textId="04E86323" w:rsidR="00C3088D" w:rsidRPr="005127CE" w:rsidRDefault="00C3088D" w:rsidP="00C3088D">
            <w:pPr>
              <w:rPr>
                <w:rFonts w:ascii="Times New Roman" w:hAnsi="Times New Roman" w:cs="Times New Roman"/>
                <w:sz w:val="24"/>
                <w:szCs w:val="24"/>
              </w:rPr>
            </w:pPr>
            <w:r w:rsidRPr="005127CE">
              <w:rPr>
                <w:rFonts w:ascii="Times New Roman" w:hAnsi="Times New Roman" w:cs="Times New Roman"/>
                <w:sz w:val="24"/>
                <w:szCs w:val="24"/>
              </w:rPr>
              <w:t>Švietimo įstaigų veiklos planai, individualūs vaikų pagalbos planai, protokolai</w:t>
            </w:r>
          </w:p>
        </w:tc>
        <w:tc>
          <w:tcPr>
            <w:tcW w:w="1887" w:type="dxa"/>
          </w:tcPr>
          <w:p w14:paraId="0D1E3299" w14:textId="622FDA88" w:rsidR="00C3088D" w:rsidRPr="005127CE" w:rsidRDefault="00C3088D" w:rsidP="00C3088D">
            <w:pPr>
              <w:rPr>
                <w:rFonts w:ascii="Times New Roman" w:hAnsi="Times New Roman" w:cs="Times New Roman"/>
                <w:sz w:val="24"/>
                <w:szCs w:val="24"/>
              </w:rPr>
            </w:pPr>
            <w:r w:rsidRPr="005127CE">
              <w:rPr>
                <w:rFonts w:ascii="Times New Roman" w:hAnsi="Times New Roman" w:cs="Times New Roman"/>
                <w:sz w:val="24"/>
                <w:szCs w:val="24"/>
              </w:rPr>
              <w:t xml:space="preserve">Balandis–birželis </w:t>
            </w:r>
          </w:p>
        </w:tc>
        <w:tc>
          <w:tcPr>
            <w:tcW w:w="1941" w:type="dxa"/>
          </w:tcPr>
          <w:p w14:paraId="5A87C9A2" w14:textId="60DF7BC5" w:rsidR="00C3088D" w:rsidRPr="005127CE" w:rsidRDefault="00C3088D" w:rsidP="00C3088D">
            <w:pPr>
              <w:rPr>
                <w:rFonts w:ascii="Times New Roman" w:hAnsi="Times New Roman" w:cs="Times New Roman"/>
                <w:sz w:val="24"/>
                <w:szCs w:val="24"/>
              </w:rPr>
            </w:pPr>
            <w:r w:rsidRPr="005127CE">
              <w:rPr>
                <w:rFonts w:ascii="Times New Roman" w:hAnsi="Times New Roman" w:cs="Times New Roman"/>
                <w:sz w:val="24"/>
                <w:szCs w:val="24"/>
              </w:rPr>
              <w:t>R. Mickienė</w:t>
            </w:r>
          </w:p>
        </w:tc>
        <w:tc>
          <w:tcPr>
            <w:tcW w:w="3118" w:type="dxa"/>
          </w:tcPr>
          <w:p w14:paraId="264F3295" w14:textId="1A0E9C5E" w:rsidR="00C3088D" w:rsidRPr="005127CE" w:rsidRDefault="00C3088D" w:rsidP="00C3088D">
            <w:pPr>
              <w:rPr>
                <w:rFonts w:ascii="Times New Roman" w:hAnsi="Times New Roman" w:cs="Times New Roman"/>
                <w:sz w:val="24"/>
                <w:szCs w:val="24"/>
              </w:rPr>
            </w:pPr>
            <w:r w:rsidRPr="005127CE">
              <w:rPr>
                <w:rFonts w:ascii="Times New Roman" w:hAnsi="Times New Roman" w:cs="Times New Roman"/>
                <w:sz w:val="24"/>
                <w:szCs w:val="24"/>
              </w:rPr>
              <w:t>Pažyma</w:t>
            </w:r>
          </w:p>
        </w:tc>
      </w:tr>
    </w:tbl>
    <w:p w14:paraId="1976E69C" w14:textId="5385D3AC" w:rsidR="00B022D8" w:rsidRPr="005127CE" w:rsidRDefault="00B022D8">
      <w:pPr>
        <w:rPr>
          <w:rFonts w:ascii="Times New Roman" w:hAnsi="Times New Roman" w:cs="Times New Roman"/>
          <w:b/>
          <w:bCs/>
          <w:sz w:val="28"/>
          <w:szCs w:val="28"/>
        </w:rPr>
      </w:pPr>
    </w:p>
    <w:p w14:paraId="50165449" w14:textId="67EA7C7E" w:rsidR="005A6291" w:rsidRPr="005127CE" w:rsidRDefault="005A6291" w:rsidP="005A6291">
      <w:pPr>
        <w:jc w:val="center"/>
        <w:rPr>
          <w:rFonts w:ascii="Times New Roman" w:hAnsi="Times New Roman" w:cs="Times New Roman"/>
          <w:b/>
          <w:bCs/>
          <w:sz w:val="28"/>
          <w:szCs w:val="28"/>
        </w:rPr>
      </w:pPr>
      <w:r w:rsidRPr="005127CE">
        <w:rPr>
          <w:rFonts w:ascii="Times New Roman" w:hAnsi="Times New Roman" w:cs="Times New Roman"/>
          <w:b/>
          <w:bCs/>
          <w:sz w:val="28"/>
          <w:szCs w:val="28"/>
        </w:rPr>
        <w:t>____________________________</w:t>
      </w:r>
    </w:p>
    <w:sectPr w:rsidR="005A6291" w:rsidRPr="005127CE" w:rsidSect="005127CE">
      <w:headerReference w:type="default" r:id="rId7"/>
      <w:pgSz w:w="16838" w:h="11906" w:orient="landscape"/>
      <w:pgMar w:top="1134"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2B64" w14:textId="77777777" w:rsidR="00B941B4" w:rsidRDefault="00B941B4" w:rsidP="00B022D8">
      <w:pPr>
        <w:spacing w:after="0" w:line="240" w:lineRule="auto"/>
      </w:pPr>
      <w:r>
        <w:separator/>
      </w:r>
    </w:p>
  </w:endnote>
  <w:endnote w:type="continuationSeparator" w:id="0">
    <w:p w14:paraId="656727BA" w14:textId="77777777" w:rsidR="00B941B4" w:rsidRDefault="00B941B4" w:rsidP="00B0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2B44" w14:textId="77777777" w:rsidR="00B941B4" w:rsidRDefault="00B941B4" w:rsidP="00B022D8">
      <w:pPr>
        <w:spacing w:after="0" w:line="240" w:lineRule="auto"/>
      </w:pPr>
      <w:r>
        <w:separator/>
      </w:r>
    </w:p>
  </w:footnote>
  <w:footnote w:type="continuationSeparator" w:id="0">
    <w:p w14:paraId="36A6DA6E" w14:textId="77777777" w:rsidR="00B941B4" w:rsidRDefault="00B941B4" w:rsidP="00B02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196383"/>
      <w:docPartObj>
        <w:docPartGallery w:val="Page Numbers (Top of Page)"/>
        <w:docPartUnique/>
      </w:docPartObj>
    </w:sdtPr>
    <w:sdtContent>
      <w:p w14:paraId="2AC82832" w14:textId="012938E0" w:rsidR="005127CE" w:rsidRDefault="005127CE">
        <w:pPr>
          <w:pStyle w:val="Antrats"/>
          <w:jc w:val="center"/>
        </w:pPr>
        <w:r>
          <w:fldChar w:fldCharType="begin"/>
        </w:r>
        <w:r>
          <w:instrText>PAGE   \* MERGEFORMAT</w:instrText>
        </w:r>
        <w:r>
          <w:fldChar w:fldCharType="separate"/>
        </w:r>
        <w:r>
          <w:t>2</w:t>
        </w:r>
        <w:r>
          <w:fldChar w:fldCharType="end"/>
        </w:r>
      </w:p>
    </w:sdtContent>
  </w:sdt>
  <w:p w14:paraId="67803AAD" w14:textId="77777777" w:rsidR="005127CE" w:rsidRDefault="0051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30C"/>
    <w:multiLevelType w:val="hybridMultilevel"/>
    <w:tmpl w:val="C9125FE8"/>
    <w:lvl w:ilvl="0" w:tplc="7A1051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E450B0"/>
    <w:multiLevelType w:val="hybridMultilevel"/>
    <w:tmpl w:val="301A9A5A"/>
    <w:lvl w:ilvl="0" w:tplc="308A732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82D0B"/>
    <w:multiLevelType w:val="hybridMultilevel"/>
    <w:tmpl w:val="88DCC29C"/>
    <w:lvl w:ilvl="0" w:tplc="1E002BC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8C65AC"/>
    <w:multiLevelType w:val="hybridMultilevel"/>
    <w:tmpl w:val="940AA994"/>
    <w:lvl w:ilvl="0" w:tplc="677C9EC6">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B771D"/>
    <w:multiLevelType w:val="hybridMultilevel"/>
    <w:tmpl w:val="C2107728"/>
    <w:lvl w:ilvl="0" w:tplc="FF12E9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42139"/>
    <w:multiLevelType w:val="hybridMultilevel"/>
    <w:tmpl w:val="8E605D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E0E21"/>
    <w:multiLevelType w:val="hybridMultilevel"/>
    <w:tmpl w:val="D75ED4F0"/>
    <w:lvl w:ilvl="0" w:tplc="1982E1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F3457B"/>
    <w:multiLevelType w:val="multilevel"/>
    <w:tmpl w:val="6D1645E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6D58294F"/>
    <w:multiLevelType w:val="hybridMultilevel"/>
    <w:tmpl w:val="FEFEE49C"/>
    <w:lvl w:ilvl="0" w:tplc="F7B0C5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F84DF6"/>
    <w:multiLevelType w:val="multilevel"/>
    <w:tmpl w:val="47027220"/>
    <w:lvl w:ilvl="0">
      <w:start w:val="1"/>
      <w:numFmt w:val="decimal"/>
      <w:lvlText w:val="%1."/>
      <w:lvlJc w:val="left"/>
      <w:pPr>
        <w:ind w:left="764" w:hanging="360"/>
      </w:pPr>
      <w:rPr>
        <w:rFonts w:hint="default"/>
      </w:rPr>
    </w:lvl>
    <w:lvl w:ilvl="1">
      <w:start w:val="1"/>
      <w:numFmt w:val="decimal"/>
      <w:isLgl/>
      <w:lvlText w:val="%1.%2."/>
      <w:lvlJc w:val="left"/>
      <w:pPr>
        <w:ind w:left="764" w:hanging="360"/>
      </w:pPr>
      <w:rPr>
        <w:rFonts w:hint="default"/>
      </w:rPr>
    </w:lvl>
    <w:lvl w:ilvl="2">
      <w:start w:val="1"/>
      <w:numFmt w:val="decimal"/>
      <w:isLgl/>
      <w:lvlText w:val="%1.%2.%3."/>
      <w:lvlJc w:val="left"/>
      <w:pPr>
        <w:ind w:left="1124"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484" w:hanging="1080"/>
      </w:pPr>
      <w:rPr>
        <w:rFonts w:hint="default"/>
      </w:rPr>
    </w:lvl>
    <w:lvl w:ilvl="5">
      <w:start w:val="1"/>
      <w:numFmt w:val="decimal"/>
      <w:isLgl/>
      <w:lvlText w:val="%1.%2.%3.%4.%5.%6."/>
      <w:lvlJc w:val="left"/>
      <w:pPr>
        <w:ind w:left="1484" w:hanging="1080"/>
      </w:pPr>
      <w:rPr>
        <w:rFonts w:hint="default"/>
      </w:rPr>
    </w:lvl>
    <w:lvl w:ilvl="6">
      <w:start w:val="1"/>
      <w:numFmt w:val="decimal"/>
      <w:isLgl/>
      <w:lvlText w:val="%1.%2.%3.%4.%5.%6.%7."/>
      <w:lvlJc w:val="left"/>
      <w:pPr>
        <w:ind w:left="1844" w:hanging="1440"/>
      </w:pPr>
      <w:rPr>
        <w:rFonts w:hint="default"/>
      </w:rPr>
    </w:lvl>
    <w:lvl w:ilvl="7">
      <w:start w:val="1"/>
      <w:numFmt w:val="decimal"/>
      <w:isLgl/>
      <w:lvlText w:val="%1.%2.%3.%4.%5.%6.%7.%8."/>
      <w:lvlJc w:val="left"/>
      <w:pPr>
        <w:ind w:left="1844" w:hanging="1440"/>
      </w:pPr>
      <w:rPr>
        <w:rFonts w:hint="default"/>
      </w:rPr>
    </w:lvl>
    <w:lvl w:ilvl="8">
      <w:start w:val="1"/>
      <w:numFmt w:val="decimal"/>
      <w:isLgl/>
      <w:lvlText w:val="%1.%2.%3.%4.%5.%6.%7.%8.%9."/>
      <w:lvlJc w:val="left"/>
      <w:pPr>
        <w:ind w:left="2204" w:hanging="1800"/>
      </w:pPr>
      <w:rPr>
        <w:rFonts w:hint="default"/>
      </w:rPr>
    </w:lvl>
  </w:abstractNum>
  <w:abstractNum w:abstractNumId="10" w15:restartNumberingAfterBreak="0">
    <w:nsid w:val="7FFB0EF5"/>
    <w:multiLevelType w:val="hybridMultilevel"/>
    <w:tmpl w:val="C3F892AA"/>
    <w:lvl w:ilvl="0" w:tplc="1CD0C0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0486442">
    <w:abstractNumId w:val="9"/>
  </w:num>
  <w:num w:numId="2" w16cid:durableId="477648488">
    <w:abstractNumId w:val="1"/>
  </w:num>
  <w:num w:numId="3" w16cid:durableId="83111414">
    <w:abstractNumId w:val="4"/>
  </w:num>
  <w:num w:numId="4" w16cid:durableId="465974840">
    <w:abstractNumId w:val="0"/>
  </w:num>
  <w:num w:numId="5" w16cid:durableId="1661890100">
    <w:abstractNumId w:val="6"/>
  </w:num>
  <w:num w:numId="6" w16cid:durableId="2086952945">
    <w:abstractNumId w:val="8"/>
  </w:num>
  <w:num w:numId="7" w16cid:durableId="968362916">
    <w:abstractNumId w:val="5"/>
  </w:num>
  <w:num w:numId="8" w16cid:durableId="1662732059">
    <w:abstractNumId w:val="10"/>
  </w:num>
  <w:num w:numId="9" w16cid:durableId="944726863">
    <w:abstractNumId w:val="2"/>
  </w:num>
  <w:num w:numId="10" w16cid:durableId="219637878">
    <w:abstractNumId w:val="3"/>
  </w:num>
  <w:num w:numId="11" w16cid:durableId="1157455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D8"/>
    <w:rsid w:val="00036969"/>
    <w:rsid w:val="00044B4F"/>
    <w:rsid w:val="000B27D4"/>
    <w:rsid w:val="000C0ED6"/>
    <w:rsid w:val="000E568A"/>
    <w:rsid w:val="00110E30"/>
    <w:rsid w:val="001B7FD0"/>
    <w:rsid w:val="001F1647"/>
    <w:rsid w:val="00220D3A"/>
    <w:rsid w:val="002D4435"/>
    <w:rsid w:val="00385CE2"/>
    <w:rsid w:val="003B117B"/>
    <w:rsid w:val="003D5242"/>
    <w:rsid w:val="0040014C"/>
    <w:rsid w:val="00417807"/>
    <w:rsid w:val="00433BC8"/>
    <w:rsid w:val="00445D2D"/>
    <w:rsid w:val="004D1140"/>
    <w:rsid w:val="005127CE"/>
    <w:rsid w:val="00592991"/>
    <w:rsid w:val="005A6291"/>
    <w:rsid w:val="005D2216"/>
    <w:rsid w:val="005E23DD"/>
    <w:rsid w:val="0061396C"/>
    <w:rsid w:val="00624EAD"/>
    <w:rsid w:val="00673CFA"/>
    <w:rsid w:val="006D6E35"/>
    <w:rsid w:val="007225BF"/>
    <w:rsid w:val="00823965"/>
    <w:rsid w:val="008C06D1"/>
    <w:rsid w:val="008E0903"/>
    <w:rsid w:val="009304BC"/>
    <w:rsid w:val="009410BC"/>
    <w:rsid w:val="00952734"/>
    <w:rsid w:val="009543E9"/>
    <w:rsid w:val="009F29AB"/>
    <w:rsid w:val="00A255B6"/>
    <w:rsid w:val="00AB51FB"/>
    <w:rsid w:val="00B022D8"/>
    <w:rsid w:val="00B106FD"/>
    <w:rsid w:val="00B156BD"/>
    <w:rsid w:val="00B5179E"/>
    <w:rsid w:val="00B536AB"/>
    <w:rsid w:val="00B5610C"/>
    <w:rsid w:val="00B941B4"/>
    <w:rsid w:val="00C12AE7"/>
    <w:rsid w:val="00C3088D"/>
    <w:rsid w:val="00C52809"/>
    <w:rsid w:val="00C5462E"/>
    <w:rsid w:val="00CD0625"/>
    <w:rsid w:val="00D00EF9"/>
    <w:rsid w:val="00D41019"/>
    <w:rsid w:val="00D676CF"/>
    <w:rsid w:val="00D72EBB"/>
    <w:rsid w:val="00DB61E2"/>
    <w:rsid w:val="00DC2E05"/>
    <w:rsid w:val="00DC30C9"/>
    <w:rsid w:val="00E160FD"/>
    <w:rsid w:val="00E45FA2"/>
    <w:rsid w:val="00E50121"/>
    <w:rsid w:val="00EE1DEB"/>
    <w:rsid w:val="00F17121"/>
    <w:rsid w:val="00F520DA"/>
    <w:rsid w:val="00F93A19"/>
    <w:rsid w:val="00FB0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F3AF"/>
  <w15:docId w15:val="{30D8BBF9-CB67-42A7-9BF8-7A2CEE55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2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22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2D8"/>
  </w:style>
  <w:style w:type="paragraph" w:styleId="Porat">
    <w:name w:val="footer"/>
    <w:basedOn w:val="prastasis"/>
    <w:link w:val="PoratDiagrama"/>
    <w:uiPriority w:val="99"/>
    <w:unhideWhenUsed/>
    <w:rsid w:val="00B022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22D8"/>
  </w:style>
  <w:style w:type="table" w:styleId="Lentelstinklelis">
    <w:name w:val="Table Grid"/>
    <w:basedOn w:val="prastojilente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022D8"/>
    <w:pPr>
      <w:ind w:left="720"/>
      <w:contextualSpacing/>
    </w:pPr>
  </w:style>
  <w:style w:type="character" w:styleId="Komentaronuoroda">
    <w:name w:val="annotation reference"/>
    <w:basedOn w:val="Numatytasispastraiposriftas"/>
    <w:uiPriority w:val="99"/>
    <w:semiHidden/>
    <w:unhideWhenUsed/>
    <w:rsid w:val="006D6E35"/>
    <w:rPr>
      <w:sz w:val="16"/>
      <w:szCs w:val="16"/>
    </w:rPr>
  </w:style>
  <w:style w:type="paragraph" w:styleId="Komentarotekstas">
    <w:name w:val="annotation text"/>
    <w:basedOn w:val="prastasis"/>
    <w:link w:val="KomentarotekstasDiagrama"/>
    <w:uiPriority w:val="99"/>
    <w:semiHidden/>
    <w:unhideWhenUsed/>
    <w:rsid w:val="006D6E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6E35"/>
    <w:rPr>
      <w:sz w:val="20"/>
      <w:szCs w:val="20"/>
    </w:rPr>
  </w:style>
  <w:style w:type="character" w:styleId="Hipersaitas">
    <w:name w:val="Hyperlink"/>
    <w:basedOn w:val="Numatytasispastraiposriftas"/>
    <w:uiPriority w:val="99"/>
    <w:semiHidden/>
    <w:unhideWhenUsed/>
    <w:rsid w:val="001B7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5961">
      <w:bodyDiv w:val="1"/>
      <w:marLeft w:val="0"/>
      <w:marRight w:val="0"/>
      <w:marTop w:val="0"/>
      <w:marBottom w:val="0"/>
      <w:divBdr>
        <w:top w:val="none" w:sz="0" w:space="0" w:color="auto"/>
        <w:left w:val="none" w:sz="0" w:space="0" w:color="auto"/>
        <w:bottom w:val="none" w:sz="0" w:space="0" w:color="auto"/>
        <w:right w:val="none" w:sz="0" w:space="0" w:color="auto"/>
      </w:divBdr>
    </w:div>
    <w:div w:id="375858370">
      <w:bodyDiv w:val="1"/>
      <w:marLeft w:val="0"/>
      <w:marRight w:val="0"/>
      <w:marTop w:val="0"/>
      <w:marBottom w:val="0"/>
      <w:divBdr>
        <w:top w:val="none" w:sz="0" w:space="0" w:color="auto"/>
        <w:left w:val="none" w:sz="0" w:space="0" w:color="auto"/>
        <w:bottom w:val="none" w:sz="0" w:space="0" w:color="auto"/>
        <w:right w:val="none" w:sz="0" w:space="0" w:color="auto"/>
      </w:divBdr>
    </w:div>
    <w:div w:id="684096451">
      <w:bodyDiv w:val="1"/>
      <w:marLeft w:val="0"/>
      <w:marRight w:val="0"/>
      <w:marTop w:val="0"/>
      <w:marBottom w:val="0"/>
      <w:divBdr>
        <w:top w:val="none" w:sz="0" w:space="0" w:color="auto"/>
        <w:left w:val="none" w:sz="0" w:space="0" w:color="auto"/>
        <w:bottom w:val="none" w:sz="0" w:space="0" w:color="auto"/>
        <w:right w:val="none" w:sz="0" w:space="0" w:color="auto"/>
      </w:divBdr>
    </w:div>
    <w:div w:id="1108819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3026</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Gotlibienė</dc:creator>
  <cp:keywords/>
  <dc:description/>
  <cp:lastModifiedBy>Vilma Gudzevičienė</cp:lastModifiedBy>
  <cp:revision>13</cp:revision>
  <cp:lastPrinted>2025-01-17T12:10:00Z</cp:lastPrinted>
  <dcterms:created xsi:type="dcterms:W3CDTF">2024-01-10T11:50:00Z</dcterms:created>
  <dcterms:modified xsi:type="dcterms:W3CDTF">2025-05-12T12:56:00Z</dcterms:modified>
</cp:coreProperties>
</file>