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4FD1806F"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0F620F">
        <w:rPr>
          <w:rFonts w:ascii="Arial" w:hAnsi="Arial" w:cs="Arial"/>
          <w:sz w:val="24"/>
          <w:szCs w:val="24"/>
          <w:u w:val="single"/>
          <w:lang w:val="lt-LT" w:eastAsia="lt-LT"/>
        </w:rPr>
        <w:t>5-0</w:t>
      </w:r>
      <w:r w:rsidR="00F51677">
        <w:rPr>
          <w:rFonts w:ascii="Arial" w:hAnsi="Arial" w:cs="Arial"/>
          <w:sz w:val="24"/>
          <w:szCs w:val="24"/>
          <w:u w:val="single"/>
          <w:lang w:val="lt-LT" w:eastAsia="lt-LT"/>
        </w:rPr>
        <w:t>6-09</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F51677">
        <w:rPr>
          <w:rFonts w:ascii="Arial" w:hAnsi="Arial" w:cs="Arial"/>
          <w:sz w:val="24"/>
          <w:szCs w:val="24"/>
          <w:u w:val="single"/>
          <w:lang w:val="lt-LT" w:eastAsia="lt-LT"/>
        </w:rPr>
        <w:t>50</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3FB96F8E"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 xml:space="preserve">Leidžiama pagal pateiktą prašymą </w:t>
      </w:r>
      <w:r w:rsidR="00F51677">
        <w:rPr>
          <w:rFonts w:ascii="Arial" w:hAnsi="Arial" w:cs="Arial"/>
          <w:color w:val="000000"/>
          <w:sz w:val="24"/>
          <w:szCs w:val="24"/>
          <w:u w:val="single"/>
          <w:bdr w:val="none" w:sz="0" w:space="0" w:color="auto" w:frame="1"/>
          <w:lang w:val="lt-LT" w:bidi="ar-SA"/>
        </w:rPr>
        <w:t>M. P.</w:t>
      </w:r>
      <w:r w:rsidR="003E5E22" w:rsidRPr="003E5E22">
        <w:rPr>
          <w:rFonts w:ascii="Arial" w:hAnsi="Arial" w:cs="Arial"/>
          <w:color w:val="000000"/>
          <w:sz w:val="24"/>
          <w:szCs w:val="24"/>
          <w:u w:val="single"/>
          <w:bdr w:val="none" w:sz="0" w:space="0" w:color="auto" w:frame="1"/>
          <w:lang w:val="lt-LT" w:bidi="ar-SA"/>
        </w:rPr>
        <w:t xml:space="preserve"> (prašymas Nr. </w:t>
      </w:r>
      <w:r w:rsidR="005D6D0F">
        <w:rPr>
          <w:rFonts w:ascii="Arial" w:hAnsi="Arial" w:cs="Arial"/>
          <w:color w:val="000000"/>
          <w:sz w:val="24"/>
          <w:szCs w:val="24"/>
          <w:u w:val="single"/>
          <w:bdr w:val="none" w:sz="0" w:space="0" w:color="auto" w:frame="1"/>
          <w:lang w:val="lt-LT" w:bidi="ar-SA"/>
        </w:rPr>
        <w:t>A13-</w:t>
      </w:r>
      <w:r w:rsidR="00F51677">
        <w:rPr>
          <w:rFonts w:ascii="Arial" w:hAnsi="Arial" w:cs="Arial"/>
          <w:color w:val="000000"/>
          <w:sz w:val="24"/>
          <w:szCs w:val="24"/>
          <w:u w:val="single"/>
          <w:bdr w:val="none" w:sz="0" w:space="0" w:color="auto" w:frame="1"/>
          <w:lang w:val="lt-LT" w:bidi="ar-SA"/>
        </w:rPr>
        <w:t>T18-305</w:t>
      </w:r>
      <w:r w:rsidR="003E5E22" w:rsidRPr="003E5E22">
        <w:rPr>
          <w:rFonts w:ascii="Arial" w:hAnsi="Arial" w:cs="Arial"/>
          <w:color w:val="000000"/>
          <w:sz w:val="24"/>
          <w:szCs w:val="24"/>
          <w:u w:val="single"/>
          <w:bdr w:val="none" w:sz="0" w:space="0" w:color="auto" w:frame="1"/>
          <w:lang w:val="lt-LT" w:bidi="ar-SA"/>
        </w:rPr>
        <w:t>).</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744CE7FE" w14:textId="10585778" w:rsidR="00E122C9" w:rsidRPr="00F51677" w:rsidRDefault="00E4009D" w:rsidP="0093164E">
      <w:pPr>
        <w:shd w:val="clear" w:color="auto" w:fill="FFFFFF"/>
        <w:spacing w:after="0" w:line="240" w:lineRule="auto"/>
        <w:jc w:val="both"/>
        <w:textAlignment w:val="baseline"/>
        <w:rPr>
          <w:rFonts w:ascii="Arial" w:hAnsi="Arial" w:cs="Arial"/>
          <w:sz w:val="24"/>
          <w:szCs w:val="24"/>
          <w:u w:val="single"/>
          <w:lang w:val="lt"/>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r w:rsidR="00F51677">
        <w:rPr>
          <w:rFonts w:ascii="Arial" w:hAnsi="Arial" w:cs="Arial"/>
          <w:sz w:val="24"/>
          <w:szCs w:val="24"/>
          <w:u w:val="single"/>
          <w:lang w:val="lt"/>
        </w:rPr>
        <w:t>kitos paskirties, žemės naudojimo būdas, gyvenamosios teritorijos mažaaukščių gyvenamųjų namų statybos, Kurapkų g. 15, Rimkų</w:t>
      </w:r>
      <w:r w:rsidR="00F51677">
        <w:rPr>
          <w:rFonts w:ascii="Arial" w:hAnsi="Arial" w:cs="Arial"/>
          <w:sz w:val="24"/>
          <w:szCs w:val="24"/>
          <w:u w:val="single"/>
          <w:lang w:val="lt"/>
        </w:rPr>
        <w:t xml:space="preserve">, Dovilų sen., Klaipėdos r. sav.                   </w:t>
      </w:r>
      <w:r w:rsidR="00E122C9"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52"/>
        <w:gridCol w:w="1834"/>
        <w:gridCol w:w="1513"/>
        <w:gridCol w:w="4000"/>
        <w:gridCol w:w="1629"/>
      </w:tblGrid>
      <w:tr w:rsidR="00F51677" w:rsidRPr="00F51677" w14:paraId="3D32AA1A" w14:textId="77777777" w:rsidTr="00D9674F">
        <w:tc>
          <w:tcPr>
            <w:tcW w:w="9962" w:type="dxa"/>
            <w:gridSpan w:val="5"/>
          </w:tcPr>
          <w:p w14:paraId="753CEBE5" w14:textId="5DB8C673" w:rsidR="00F51677" w:rsidRPr="00F51677" w:rsidRDefault="00F51677" w:rsidP="00F51677">
            <w:pPr>
              <w:rPr>
                <w:rFonts w:ascii="Arial" w:hAnsi="Arial" w:cs="Arial"/>
                <w:sz w:val="24"/>
                <w:szCs w:val="24"/>
                <w:lang w:val="lt"/>
              </w:rPr>
            </w:pPr>
            <w:bookmarkStart w:id="0" w:name="_Hlk132296437"/>
            <w:bookmarkStart w:id="1" w:name="_Hlk141433227"/>
            <w:r w:rsidRPr="00F51677">
              <w:rPr>
                <w:rFonts w:ascii="Arial" w:hAnsi="Arial" w:cs="Arial"/>
                <w:sz w:val="24"/>
                <w:szCs w:val="24"/>
                <w:lang w:val="lt"/>
              </w:rPr>
              <w:t>Sklype – Dovilų seniūnijoje, kitos paskirties, žemės naudojimo būdas, gyvenamosios teritorijos mažaaukščių gyvenamųjų namų statybos Kurapkų g. 15, Rimkų k</w:t>
            </w:r>
            <w:r>
              <w:rPr>
                <w:rFonts w:ascii="Arial" w:hAnsi="Arial" w:cs="Arial"/>
                <w:sz w:val="24"/>
                <w:szCs w:val="24"/>
                <w:lang w:val="lt"/>
              </w:rPr>
              <w:t>., sklypo kad. Nr. 5544/0002:1203.</w:t>
            </w:r>
          </w:p>
        </w:tc>
      </w:tr>
      <w:tr w:rsidR="00F51677" w:rsidRPr="00F51677" w14:paraId="5B28880A" w14:textId="77777777" w:rsidTr="00D9674F">
        <w:tc>
          <w:tcPr>
            <w:tcW w:w="663" w:type="dxa"/>
          </w:tcPr>
          <w:p w14:paraId="5BB46F4D" w14:textId="77777777" w:rsidR="00F51677" w:rsidRPr="00F51677" w:rsidRDefault="00F51677" w:rsidP="00D9674F">
            <w:pPr>
              <w:jc w:val="both"/>
              <w:rPr>
                <w:rFonts w:ascii="Arial" w:hAnsi="Arial" w:cs="Arial"/>
                <w:sz w:val="24"/>
                <w:szCs w:val="24"/>
                <w:lang w:val="lt"/>
              </w:rPr>
            </w:pPr>
            <w:r w:rsidRPr="00F51677">
              <w:rPr>
                <w:rFonts w:ascii="Arial" w:hAnsi="Arial" w:cs="Arial"/>
                <w:sz w:val="24"/>
                <w:szCs w:val="24"/>
                <w:lang w:val="lt"/>
              </w:rPr>
              <w:t>Nr.</w:t>
            </w:r>
          </w:p>
        </w:tc>
        <w:tc>
          <w:tcPr>
            <w:tcW w:w="1883" w:type="dxa"/>
          </w:tcPr>
          <w:p w14:paraId="341EBE3B"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Želdinio rūšis</w:t>
            </w:r>
          </w:p>
        </w:tc>
        <w:tc>
          <w:tcPr>
            <w:tcW w:w="1535" w:type="dxa"/>
          </w:tcPr>
          <w:p w14:paraId="1A74AE6F"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Skersmuo 1,30 m</w:t>
            </w:r>
          </w:p>
        </w:tc>
        <w:tc>
          <w:tcPr>
            <w:tcW w:w="4229" w:type="dxa"/>
          </w:tcPr>
          <w:p w14:paraId="0954995E"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Būklė</w:t>
            </w:r>
          </w:p>
        </w:tc>
        <w:tc>
          <w:tcPr>
            <w:tcW w:w="1652" w:type="dxa"/>
          </w:tcPr>
          <w:p w14:paraId="0D8C51BD"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Atkuriamoji vertė €</w:t>
            </w:r>
          </w:p>
        </w:tc>
      </w:tr>
      <w:tr w:rsidR="00F51677" w:rsidRPr="00F51677" w14:paraId="4A5EE1D3" w14:textId="77777777" w:rsidTr="00D9674F">
        <w:trPr>
          <w:trHeight w:val="885"/>
        </w:trPr>
        <w:tc>
          <w:tcPr>
            <w:tcW w:w="663" w:type="dxa"/>
          </w:tcPr>
          <w:p w14:paraId="3CF7D34E" w14:textId="77777777" w:rsidR="00F51677" w:rsidRPr="00F51677" w:rsidRDefault="00F51677" w:rsidP="00D9674F">
            <w:pPr>
              <w:jc w:val="both"/>
              <w:rPr>
                <w:rFonts w:ascii="Arial" w:hAnsi="Arial" w:cs="Arial"/>
                <w:sz w:val="24"/>
                <w:szCs w:val="24"/>
                <w:lang w:val="lt"/>
              </w:rPr>
            </w:pPr>
            <w:r w:rsidRPr="00F51677">
              <w:rPr>
                <w:rFonts w:ascii="Arial" w:hAnsi="Arial" w:cs="Arial"/>
                <w:sz w:val="24"/>
                <w:szCs w:val="24"/>
                <w:lang w:val="lt"/>
              </w:rPr>
              <w:t>1.</w:t>
            </w:r>
          </w:p>
        </w:tc>
        <w:tc>
          <w:tcPr>
            <w:tcW w:w="1883" w:type="dxa"/>
          </w:tcPr>
          <w:p w14:paraId="0A7231DA"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Karpotasis beržas</w:t>
            </w:r>
          </w:p>
        </w:tc>
        <w:tc>
          <w:tcPr>
            <w:tcW w:w="1535" w:type="dxa"/>
          </w:tcPr>
          <w:p w14:paraId="59EF3BDB"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24</w:t>
            </w:r>
          </w:p>
        </w:tc>
        <w:tc>
          <w:tcPr>
            <w:tcW w:w="4229" w:type="dxa"/>
          </w:tcPr>
          <w:p w14:paraId="49D81B39" w14:textId="77777777" w:rsidR="00F51677" w:rsidRPr="00F51677" w:rsidRDefault="00F51677" w:rsidP="00D9674F">
            <w:pPr>
              <w:suppressAutoHyphens/>
              <w:jc w:val="both"/>
              <w:rPr>
                <w:rFonts w:ascii="Arial" w:hAnsi="Arial" w:cs="Arial"/>
                <w:sz w:val="24"/>
                <w:szCs w:val="24"/>
              </w:rPr>
            </w:pPr>
            <w:r w:rsidRPr="00F51677">
              <w:rPr>
                <w:rFonts w:ascii="Arial" w:hAnsi="Arial" w:cs="Arial"/>
                <w:sz w:val="24"/>
                <w:szCs w:val="24"/>
              </w:rPr>
              <w:t xml:space="preserve">Būklė – gera. Medis vertingas estetine ir ekologine prasme, formuojantis teritorijos apželdinimą. Medis gražiai suformuota ir išsivysčiusia laja. Želdinys alergizuoja žemės sklypo savininkus. Želdinys nesaugotinas, leidimas nereikalingas.   </w:t>
            </w:r>
          </w:p>
          <w:p w14:paraId="02992B4F" w14:textId="77777777" w:rsidR="00F51677" w:rsidRPr="00F51677" w:rsidRDefault="00F51677" w:rsidP="00D9674F">
            <w:pPr>
              <w:suppressAutoHyphens/>
              <w:jc w:val="both"/>
              <w:rPr>
                <w:rFonts w:ascii="Arial" w:hAnsi="Arial" w:cs="Arial"/>
                <w:sz w:val="24"/>
                <w:szCs w:val="24"/>
              </w:rPr>
            </w:pPr>
            <w:r w:rsidRPr="00F51677">
              <w:rPr>
                <w:rFonts w:ascii="Arial" w:hAnsi="Arial" w:cs="Arial"/>
                <w:sz w:val="24"/>
                <w:szCs w:val="24"/>
              </w:rPr>
              <w:t xml:space="preserve"> </w:t>
            </w:r>
          </w:p>
        </w:tc>
        <w:tc>
          <w:tcPr>
            <w:tcW w:w="1652" w:type="dxa"/>
          </w:tcPr>
          <w:p w14:paraId="491F21C2"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w:t>
            </w:r>
          </w:p>
        </w:tc>
      </w:tr>
      <w:tr w:rsidR="00F51677" w:rsidRPr="00F51677" w14:paraId="038906F2" w14:textId="77777777" w:rsidTr="00D9674F">
        <w:trPr>
          <w:trHeight w:val="885"/>
        </w:trPr>
        <w:tc>
          <w:tcPr>
            <w:tcW w:w="663" w:type="dxa"/>
          </w:tcPr>
          <w:p w14:paraId="350A3E09" w14:textId="77777777" w:rsidR="00F51677" w:rsidRPr="00F51677" w:rsidRDefault="00F51677" w:rsidP="00D9674F">
            <w:pPr>
              <w:jc w:val="both"/>
              <w:rPr>
                <w:rFonts w:ascii="Arial" w:hAnsi="Arial" w:cs="Arial"/>
                <w:sz w:val="24"/>
                <w:szCs w:val="24"/>
                <w:lang w:val="lt"/>
              </w:rPr>
            </w:pPr>
            <w:r w:rsidRPr="00F51677">
              <w:rPr>
                <w:rFonts w:ascii="Arial" w:hAnsi="Arial" w:cs="Arial"/>
                <w:sz w:val="24"/>
                <w:szCs w:val="24"/>
                <w:lang w:val="lt"/>
              </w:rPr>
              <w:t xml:space="preserve">2. </w:t>
            </w:r>
          </w:p>
        </w:tc>
        <w:tc>
          <w:tcPr>
            <w:tcW w:w="1883" w:type="dxa"/>
          </w:tcPr>
          <w:p w14:paraId="64FAA5B3"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Karpotasis beržas</w:t>
            </w:r>
          </w:p>
        </w:tc>
        <w:tc>
          <w:tcPr>
            <w:tcW w:w="1535" w:type="dxa"/>
          </w:tcPr>
          <w:p w14:paraId="7EB3BA56"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27</w:t>
            </w:r>
          </w:p>
        </w:tc>
        <w:tc>
          <w:tcPr>
            <w:tcW w:w="4229" w:type="dxa"/>
          </w:tcPr>
          <w:p w14:paraId="50006E2D" w14:textId="77777777" w:rsidR="00F51677" w:rsidRPr="00F51677" w:rsidRDefault="00F51677" w:rsidP="00D9674F">
            <w:pPr>
              <w:suppressAutoHyphens/>
              <w:jc w:val="both"/>
              <w:rPr>
                <w:rFonts w:ascii="Arial" w:hAnsi="Arial" w:cs="Arial"/>
                <w:sz w:val="24"/>
                <w:szCs w:val="24"/>
              </w:rPr>
            </w:pPr>
            <w:r w:rsidRPr="00F51677">
              <w:rPr>
                <w:rFonts w:ascii="Arial" w:hAnsi="Arial" w:cs="Arial"/>
                <w:sz w:val="24"/>
                <w:szCs w:val="24"/>
              </w:rPr>
              <w:t xml:space="preserve">Būklė – gera. Medis vertingas estetine ir ekologine prasme, formuojantis teritorijos apželdinimą. Medis gražiai suformuota ir išsivysčiusia laja. Želdinys alergizuoja žemės sklypo savininkus. Želdinys nesaugotinas, leidimas nereikalingas.   </w:t>
            </w:r>
          </w:p>
          <w:p w14:paraId="3B8F94C8" w14:textId="77777777" w:rsidR="00F51677" w:rsidRPr="00F51677" w:rsidRDefault="00F51677" w:rsidP="00D9674F">
            <w:pPr>
              <w:suppressAutoHyphens/>
              <w:jc w:val="both"/>
              <w:rPr>
                <w:rFonts w:ascii="Arial" w:hAnsi="Arial" w:cs="Arial"/>
                <w:sz w:val="24"/>
                <w:szCs w:val="24"/>
              </w:rPr>
            </w:pPr>
          </w:p>
        </w:tc>
        <w:tc>
          <w:tcPr>
            <w:tcW w:w="1652" w:type="dxa"/>
          </w:tcPr>
          <w:p w14:paraId="0E4B8DBB"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w:t>
            </w:r>
          </w:p>
        </w:tc>
      </w:tr>
      <w:tr w:rsidR="00F51677" w:rsidRPr="00F51677" w14:paraId="43418BF3" w14:textId="77777777" w:rsidTr="00D9674F">
        <w:trPr>
          <w:trHeight w:val="885"/>
        </w:trPr>
        <w:tc>
          <w:tcPr>
            <w:tcW w:w="663" w:type="dxa"/>
          </w:tcPr>
          <w:p w14:paraId="3ADC1462" w14:textId="77777777" w:rsidR="00F51677" w:rsidRPr="00F51677" w:rsidRDefault="00F51677" w:rsidP="00D9674F">
            <w:pPr>
              <w:jc w:val="both"/>
              <w:rPr>
                <w:rFonts w:ascii="Arial" w:hAnsi="Arial" w:cs="Arial"/>
                <w:sz w:val="24"/>
                <w:szCs w:val="24"/>
                <w:lang w:val="lt"/>
              </w:rPr>
            </w:pPr>
            <w:r w:rsidRPr="00F51677">
              <w:rPr>
                <w:rFonts w:ascii="Arial" w:hAnsi="Arial" w:cs="Arial"/>
                <w:sz w:val="24"/>
                <w:szCs w:val="24"/>
                <w:lang w:val="lt"/>
              </w:rPr>
              <w:t xml:space="preserve">3. </w:t>
            </w:r>
          </w:p>
        </w:tc>
        <w:tc>
          <w:tcPr>
            <w:tcW w:w="1883" w:type="dxa"/>
          </w:tcPr>
          <w:p w14:paraId="2806BC5C"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Karpotasis beržas</w:t>
            </w:r>
          </w:p>
        </w:tc>
        <w:tc>
          <w:tcPr>
            <w:tcW w:w="1535" w:type="dxa"/>
          </w:tcPr>
          <w:p w14:paraId="2574D736"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27</w:t>
            </w:r>
          </w:p>
        </w:tc>
        <w:tc>
          <w:tcPr>
            <w:tcW w:w="4229" w:type="dxa"/>
          </w:tcPr>
          <w:p w14:paraId="0E70F887" w14:textId="77777777" w:rsidR="00F51677" w:rsidRPr="00F51677" w:rsidRDefault="00F51677" w:rsidP="00D9674F">
            <w:pPr>
              <w:suppressAutoHyphens/>
              <w:jc w:val="both"/>
              <w:rPr>
                <w:rFonts w:ascii="Arial" w:hAnsi="Arial" w:cs="Arial"/>
                <w:sz w:val="24"/>
                <w:szCs w:val="24"/>
              </w:rPr>
            </w:pPr>
            <w:r w:rsidRPr="00F51677">
              <w:rPr>
                <w:rFonts w:ascii="Arial" w:hAnsi="Arial" w:cs="Arial"/>
                <w:sz w:val="24"/>
                <w:szCs w:val="24"/>
              </w:rPr>
              <w:t xml:space="preserve">Būklė – gera. Medis vertingas estetine ir ekologine prasme, formuojantis teritorijos apželdinimą. </w:t>
            </w:r>
            <w:r w:rsidRPr="00F51677">
              <w:rPr>
                <w:rFonts w:ascii="Arial" w:hAnsi="Arial" w:cs="Arial"/>
                <w:sz w:val="24"/>
                <w:szCs w:val="24"/>
              </w:rPr>
              <w:lastRenderedPageBreak/>
              <w:t xml:space="preserve">Medis gražiai suformuota ir išsivysčiusia laja. Želdinys alergizuoja žemės sklypo savininkus. Želdinys nesaugotinas, leidimas nereikalingas.   </w:t>
            </w:r>
          </w:p>
          <w:p w14:paraId="1EFB1894" w14:textId="77777777" w:rsidR="00F51677" w:rsidRPr="00F51677" w:rsidRDefault="00F51677" w:rsidP="00D9674F">
            <w:pPr>
              <w:suppressAutoHyphens/>
              <w:jc w:val="both"/>
              <w:rPr>
                <w:rFonts w:ascii="Arial" w:hAnsi="Arial" w:cs="Arial"/>
                <w:sz w:val="24"/>
                <w:szCs w:val="24"/>
              </w:rPr>
            </w:pPr>
          </w:p>
        </w:tc>
        <w:tc>
          <w:tcPr>
            <w:tcW w:w="1652" w:type="dxa"/>
          </w:tcPr>
          <w:p w14:paraId="21EAAED3"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lastRenderedPageBreak/>
              <w:t>-</w:t>
            </w:r>
          </w:p>
        </w:tc>
      </w:tr>
      <w:tr w:rsidR="00F51677" w:rsidRPr="00F51677" w14:paraId="061B6B59" w14:textId="77777777" w:rsidTr="00D9674F">
        <w:trPr>
          <w:trHeight w:val="885"/>
        </w:trPr>
        <w:tc>
          <w:tcPr>
            <w:tcW w:w="663" w:type="dxa"/>
          </w:tcPr>
          <w:p w14:paraId="44A2C511" w14:textId="77777777" w:rsidR="00F51677" w:rsidRPr="00F51677" w:rsidRDefault="00F51677" w:rsidP="00D9674F">
            <w:pPr>
              <w:jc w:val="both"/>
              <w:rPr>
                <w:rFonts w:ascii="Arial" w:hAnsi="Arial" w:cs="Arial"/>
                <w:sz w:val="24"/>
                <w:szCs w:val="24"/>
                <w:lang w:val="lt"/>
              </w:rPr>
            </w:pPr>
            <w:r w:rsidRPr="00F51677">
              <w:rPr>
                <w:rFonts w:ascii="Arial" w:hAnsi="Arial" w:cs="Arial"/>
                <w:sz w:val="24"/>
                <w:szCs w:val="24"/>
                <w:lang w:val="lt"/>
              </w:rPr>
              <w:t>4.</w:t>
            </w:r>
          </w:p>
        </w:tc>
        <w:tc>
          <w:tcPr>
            <w:tcW w:w="1883" w:type="dxa"/>
          </w:tcPr>
          <w:p w14:paraId="336EE435"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Karpotasis beržas</w:t>
            </w:r>
          </w:p>
        </w:tc>
        <w:tc>
          <w:tcPr>
            <w:tcW w:w="1535" w:type="dxa"/>
          </w:tcPr>
          <w:p w14:paraId="4035A696"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33</w:t>
            </w:r>
          </w:p>
        </w:tc>
        <w:tc>
          <w:tcPr>
            <w:tcW w:w="4229" w:type="dxa"/>
          </w:tcPr>
          <w:p w14:paraId="6544A075" w14:textId="77777777" w:rsidR="00F51677" w:rsidRPr="00F51677" w:rsidRDefault="00F51677" w:rsidP="00D9674F">
            <w:pPr>
              <w:suppressAutoHyphens/>
              <w:jc w:val="both"/>
              <w:rPr>
                <w:rFonts w:ascii="Arial" w:hAnsi="Arial" w:cs="Arial"/>
                <w:sz w:val="24"/>
                <w:szCs w:val="24"/>
              </w:rPr>
            </w:pPr>
            <w:r w:rsidRPr="00F51677">
              <w:rPr>
                <w:rFonts w:ascii="Arial" w:hAnsi="Arial" w:cs="Arial"/>
                <w:sz w:val="24"/>
                <w:szCs w:val="24"/>
              </w:rPr>
              <w:t xml:space="preserve">Būklė – gera. Medis vertingas estetine ir ekologine prasme, formuojantis teritorijos apželdinimą. Medis gražiai suformuota ir išsivysčiusia laja. Želdinys alergizuoja žemės sklypo savininkus. Želdinys saugotinas, leidimas išduodamas taikant atkuriamosios vertės įkainius.   </w:t>
            </w:r>
          </w:p>
        </w:tc>
        <w:tc>
          <w:tcPr>
            <w:tcW w:w="1652" w:type="dxa"/>
          </w:tcPr>
          <w:p w14:paraId="14CC8BC9"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297</w:t>
            </w:r>
          </w:p>
        </w:tc>
      </w:tr>
      <w:tr w:rsidR="00F51677" w:rsidRPr="00F51677" w14:paraId="60A722EF" w14:textId="77777777" w:rsidTr="00D9674F">
        <w:trPr>
          <w:trHeight w:val="885"/>
        </w:trPr>
        <w:tc>
          <w:tcPr>
            <w:tcW w:w="663" w:type="dxa"/>
          </w:tcPr>
          <w:p w14:paraId="64F1FA30" w14:textId="77777777" w:rsidR="00F51677" w:rsidRPr="00F51677" w:rsidRDefault="00F51677" w:rsidP="00D9674F">
            <w:pPr>
              <w:jc w:val="both"/>
              <w:rPr>
                <w:rFonts w:ascii="Arial" w:hAnsi="Arial" w:cs="Arial"/>
                <w:sz w:val="24"/>
                <w:szCs w:val="24"/>
                <w:lang w:val="lt"/>
              </w:rPr>
            </w:pPr>
            <w:r w:rsidRPr="00F51677">
              <w:rPr>
                <w:rFonts w:ascii="Arial" w:hAnsi="Arial" w:cs="Arial"/>
                <w:sz w:val="24"/>
                <w:szCs w:val="24"/>
                <w:lang w:val="lt"/>
              </w:rPr>
              <w:t xml:space="preserve">5. </w:t>
            </w:r>
          </w:p>
        </w:tc>
        <w:tc>
          <w:tcPr>
            <w:tcW w:w="1883" w:type="dxa"/>
          </w:tcPr>
          <w:p w14:paraId="321800DE"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Karpotasis beržas</w:t>
            </w:r>
          </w:p>
        </w:tc>
        <w:tc>
          <w:tcPr>
            <w:tcW w:w="1535" w:type="dxa"/>
          </w:tcPr>
          <w:p w14:paraId="5DE62109"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32</w:t>
            </w:r>
          </w:p>
        </w:tc>
        <w:tc>
          <w:tcPr>
            <w:tcW w:w="4229" w:type="dxa"/>
          </w:tcPr>
          <w:p w14:paraId="608E2EAF" w14:textId="77777777" w:rsidR="00F51677" w:rsidRPr="00F51677" w:rsidRDefault="00F51677" w:rsidP="00D9674F">
            <w:pPr>
              <w:suppressAutoHyphens/>
              <w:jc w:val="both"/>
              <w:rPr>
                <w:rFonts w:ascii="Arial" w:hAnsi="Arial" w:cs="Arial"/>
                <w:sz w:val="24"/>
                <w:szCs w:val="24"/>
              </w:rPr>
            </w:pPr>
            <w:r w:rsidRPr="00F51677">
              <w:rPr>
                <w:rFonts w:ascii="Arial" w:hAnsi="Arial" w:cs="Arial"/>
                <w:sz w:val="24"/>
                <w:szCs w:val="24"/>
              </w:rPr>
              <w:t xml:space="preserve">Būklė – gera. Medis vertingas estetine ir ekologine prasme, formuojantis teritorijos apželdinimą. Medis gražiai suformuota ir išsivysčiusia laja. Želdinys alergizuoja žemės sklypo savininkus. Želdinys saugotinas, leidimas išduodamas taikant atkuriamosios vertės įkainius.   </w:t>
            </w:r>
          </w:p>
        </w:tc>
        <w:tc>
          <w:tcPr>
            <w:tcW w:w="1652" w:type="dxa"/>
          </w:tcPr>
          <w:p w14:paraId="49A1D64D"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288</w:t>
            </w:r>
          </w:p>
        </w:tc>
      </w:tr>
      <w:tr w:rsidR="00F51677" w:rsidRPr="00F51677" w14:paraId="6EE597DF" w14:textId="77777777" w:rsidTr="00D9674F">
        <w:trPr>
          <w:trHeight w:val="885"/>
        </w:trPr>
        <w:tc>
          <w:tcPr>
            <w:tcW w:w="663" w:type="dxa"/>
          </w:tcPr>
          <w:p w14:paraId="06F4184C" w14:textId="77777777" w:rsidR="00F51677" w:rsidRPr="00F51677" w:rsidRDefault="00F51677" w:rsidP="00D9674F">
            <w:pPr>
              <w:jc w:val="both"/>
              <w:rPr>
                <w:rFonts w:ascii="Arial" w:hAnsi="Arial" w:cs="Arial"/>
                <w:sz w:val="24"/>
                <w:szCs w:val="24"/>
                <w:lang w:val="lt"/>
              </w:rPr>
            </w:pPr>
            <w:r w:rsidRPr="00F51677">
              <w:rPr>
                <w:rFonts w:ascii="Arial" w:hAnsi="Arial" w:cs="Arial"/>
                <w:sz w:val="24"/>
                <w:szCs w:val="24"/>
                <w:lang w:val="lt"/>
              </w:rPr>
              <w:t xml:space="preserve">6. </w:t>
            </w:r>
          </w:p>
        </w:tc>
        <w:tc>
          <w:tcPr>
            <w:tcW w:w="1883" w:type="dxa"/>
          </w:tcPr>
          <w:p w14:paraId="5D54DD8B"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Karpotasis beržas</w:t>
            </w:r>
          </w:p>
        </w:tc>
        <w:tc>
          <w:tcPr>
            <w:tcW w:w="1535" w:type="dxa"/>
          </w:tcPr>
          <w:p w14:paraId="1BC417B5"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29</w:t>
            </w:r>
          </w:p>
        </w:tc>
        <w:tc>
          <w:tcPr>
            <w:tcW w:w="4229" w:type="dxa"/>
          </w:tcPr>
          <w:p w14:paraId="4CCE380B" w14:textId="77777777" w:rsidR="00F51677" w:rsidRPr="00F51677" w:rsidRDefault="00F51677" w:rsidP="00D9674F">
            <w:pPr>
              <w:suppressAutoHyphens/>
              <w:jc w:val="both"/>
              <w:rPr>
                <w:rFonts w:ascii="Arial" w:hAnsi="Arial" w:cs="Arial"/>
                <w:sz w:val="24"/>
                <w:szCs w:val="24"/>
              </w:rPr>
            </w:pPr>
            <w:r w:rsidRPr="00F51677">
              <w:rPr>
                <w:rFonts w:ascii="Arial" w:hAnsi="Arial" w:cs="Arial"/>
                <w:sz w:val="24"/>
                <w:szCs w:val="24"/>
              </w:rPr>
              <w:t>Būklė – gera. Medis vertingas estetine ir ekologine prasme, formuojantis teritorijos apželdinimą. Medis gražiai suformuota ir išsivysčiusia laja. Želdinys alergizuoja žemės sklypo savininkus. Želdinys nesaugotinas, leidimas nereikalingas.</w:t>
            </w:r>
          </w:p>
        </w:tc>
        <w:tc>
          <w:tcPr>
            <w:tcW w:w="1652" w:type="dxa"/>
          </w:tcPr>
          <w:p w14:paraId="1E48EE2B" w14:textId="77777777" w:rsidR="00F51677" w:rsidRPr="00F51677" w:rsidRDefault="00F51677" w:rsidP="00D9674F">
            <w:pPr>
              <w:jc w:val="center"/>
              <w:rPr>
                <w:rFonts w:ascii="Arial" w:hAnsi="Arial" w:cs="Arial"/>
                <w:sz w:val="24"/>
                <w:szCs w:val="24"/>
                <w:lang w:val="lt"/>
              </w:rPr>
            </w:pPr>
            <w:r w:rsidRPr="00F51677">
              <w:rPr>
                <w:rFonts w:ascii="Arial" w:hAnsi="Arial" w:cs="Arial"/>
                <w:sz w:val="24"/>
                <w:szCs w:val="24"/>
                <w:lang w:val="lt"/>
              </w:rPr>
              <w:t>-</w:t>
            </w:r>
          </w:p>
        </w:tc>
      </w:tr>
      <w:tr w:rsidR="00F51677" w:rsidRPr="00F51677" w14:paraId="1A6FFF48" w14:textId="77777777" w:rsidTr="00D9674F">
        <w:trPr>
          <w:trHeight w:val="393"/>
        </w:trPr>
        <w:tc>
          <w:tcPr>
            <w:tcW w:w="9962" w:type="dxa"/>
            <w:gridSpan w:val="5"/>
          </w:tcPr>
          <w:p w14:paraId="79004550" w14:textId="77777777" w:rsidR="00F51677" w:rsidRPr="00F51677" w:rsidRDefault="00F51677" w:rsidP="00D9674F">
            <w:pPr>
              <w:jc w:val="both"/>
              <w:rPr>
                <w:rFonts w:ascii="Arial" w:hAnsi="Arial" w:cs="Arial"/>
                <w:sz w:val="24"/>
                <w:szCs w:val="24"/>
                <w:lang w:val="lt"/>
              </w:rPr>
            </w:pPr>
            <w:r w:rsidRPr="00F51677">
              <w:rPr>
                <w:rFonts w:ascii="Arial" w:hAnsi="Arial" w:cs="Arial"/>
                <w:sz w:val="24"/>
                <w:szCs w:val="24"/>
                <w:lang w:val="lt"/>
              </w:rPr>
              <w:t xml:space="preserve">Leidimas išduodamas taikant atkuriamosios vertės įkainius. </w:t>
            </w:r>
          </w:p>
        </w:tc>
      </w:tr>
      <w:tr w:rsidR="00F51677" w:rsidRPr="00F51677" w14:paraId="32366444" w14:textId="77777777" w:rsidTr="00D9674F">
        <w:tc>
          <w:tcPr>
            <w:tcW w:w="8310" w:type="dxa"/>
            <w:gridSpan w:val="4"/>
          </w:tcPr>
          <w:p w14:paraId="55A13250" w14:textId="77777777" w:rsidR="00F51677" w:rsidRPr="00F51677" w:rsidRDefault="00F51677" w:rsidP="00D9674F">
            <w:pPr>
              <w:jc w:val="both"/>
              <w:rPr>
                <w:rFonts w:ascii="Arial" w:hAnsi="Arial" w:cs="Arial"/>
                <w:sz w:val="24"/>
                <w:szCs w:val="24"/>
                <w:lang w:val="lt"/>
              </w:rPr>
            </w:pPr>
            <w:r w:rsidRPr="00F51677">
              <w:rPr>
                <w:rFonts w:ascii="Arial" w:hAnsi="Arial" w:cs="Arial"/>
                <w:sz w:val="24"/>
                <w:szCs w:val="24"/>
                <w:lang w:val="lt"/>
              </w:rPr>
              <w:t>Iš viso:</w:t>
            </w:r>
          </w:p>
        </w:tc>
        <w:tc>
          <w:tcPr>
            <w:tcW w:w="1652" w:type="dxa"/>
          </w:tcPr>
          <w:p w14:paraId="24141A01" w14:textId="77777777" w:rsidR="00F51677" w:rsidRPr="00F51677" w:rsidRDefault="00F51677" w:rsidP="00D9674F">
            <w:pPr>
              <w:jc w:val="center"/>
              <w:rPr>
                <w:rFonts w:ascii="Arial" w:hAnsi="Arial" w:cs="Arial"/>
                <w:b/>
                <w:bCs/>
                <w:sz w:val="24"/>
                <w:szCs w:val="24"/>
                <w:u w:val="single"/>
                <w:lang w:val="lt"/>
              </w:rPr>
            </w:pPr>
            <w:r w:rsidRPr="00F51677">
              <w:rPr>
                <w:rFonts w:ascii="Arial" w:hAnsi="Arial" w:cs="Arial"/>
                <w:b/>
                <w:bCs/>
                <w:sz w:val="24"/>
                <w:szCs w:val="24"/>
                <w:u w:val="single"/>
                <w:lang w:val="lt"/>
              </w:rPr>
              <w:t>585 €</w:t>
            </w:r>
          </w:p>
        </w:tc>
      </w:tr>
      <w:bookmarkEnd w:id="0"/>
      <w:bookmarkEnd w:id="1"/>
    </w:tbl>
    <w:p w14:paraId="338F6147" w14:textId="77777777" w:rsidR="00F51677" w:rsidRDefault="00F51677" w:rsidP="003E5E22">
      <w:pPr>
        <w:spacing w:after="0" w:line="240" w:lineRule="auto"/>
        <w:jc w:val="center"/>
        <w:rPr>
          <w:rFonts w:ascii="Arial" w:hAnsi="Arial" w:cs="Arial"/>
          <w:sz w:val="20"/>
          <w:szCs w:val="20"/>
          <w:lang w:val="lt-LT" w:eastAsia="lt-LT"/>
        </w:rPr>
      </w:pPr>
    </w:p>
    <w:p w14:paraId="29B82415" w14:textId="2A344D8A" w:rsidR="00982E14" w:rsidRPr="003E5E22" w:rsidRDefault="00F378C9" w:rsidP="003E5E22">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r w:rsidR="00E4009D" w:rsidRPr="0054119A">
        <w:rPr>
          <w:rFonts w:ascii="Arial" w:hAnsi="Arial" w:cs="Arial"/>
          <w:sz w:val="20"/>
          <w:szCs w:val="20"/>
          <w:lang w:val="lt-LT" w:eastAsia="lt-LT"/>
        </w:rPr>
        <w:t>(leidžiamų vykdyti darbų esmė)</w:t>
      </w:r>
    </w:p>
    <w:p w14:paraId="57D798B7" w14:textId="444406C9"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F378C9">
        <w:rPr>
          <w:rFonts w:ascii="Arial" w:hAnsi="Arial" w:cs="Arial"/>
          <w:b/>
          <w:bCs/>
          <w:sz w:val="24"/>
          <w:szCs w:val="24"/>
          <w:u w:val="single"/>
          <w:lang w:val="lt-LT" w:eastAsia="lt-LT"/>
        </w:rPr>
        <w:t>1</w:t>
      </w:r>
      <w:r w:rsidR="00373A33" w:rsidRPr="0054119A">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56F57354"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F51677">
        <w:rPr>
          <w:rFonts w:ascii="Arial" w:hAnsi="Arial" w:cs="Arial"/>
          <w:b/>
          <w:bCs/>
          <w:sz w:val="24"/>
          <w:szCs w:val="24"/>
          <w:u w:val="single"/>
          <w:lang w:val="lt-LT" w:eastAsia="lt-LT"/>
        </w:rPr>
        <w:t>585</w:t>
      </w:r>
      <w:r w:rsidRPr="0054119A">
        <w:rPr>
          <w:rFonts w:ascii="Arial" w:hAnsi="Arial" w:cs="Arial"/>
          <w:sz w:val="24"/>
          <w:szCs w:val="24"/>
          <w:lang w:val="lt-LT" w:eastAsia="lt-LT"/>
        </w:rPr>
        <w:t>__ Eur 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0772ADCA"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lastRenderedPageBreak/>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w:t>
      </w:r>
      <w:r w:rsidR="00EB552A">
        <w:rPr>
          <w:rFonts w:ascii="Arial" w:hAnsi="Arial" w:cs="Arial"/>
          <w:b/>
          <w:bCs/>
          <w:sz w:val="24"/>
          <w:szCs w:val="24"/>
          <w:u w:val="single"/>
          <w:lang w:val="lt-LT" w:eastAsia="lt-LT"/>
        </w:rPr>
        <w:t>25-0</w:t>
      </w:r>
      <w:r w:rsidR="00F51677">
        <w:rPr>
          <w:rFonts w:ascii="Arial" w:hAnsi="Arial" w:cs="Arial"/>
          <w:b/>
          <w:bCs/>
          <w:sz w:val="24"/>
          <w:szCs w:val="24"/>
          <w:u w:val="single"/>
          <w:lang w:val="lt-LT" w:eastAsia="lt-LT"/>
        </w:rPr>
        <w:t>6-23</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Default="005241F6" w:rsidP="005241F6">
      <w:pPr>
        <w:spacing w:after="0" w:line="240" w:lineRule="auto"/>
        <w:jc w:val="both"/>
        <w:rPr>
          <w:rFonts w:ascii="Arial" w:hAnsi="Arial" w:cs="Arial"/>
          <w:sz w:val="24"/>
          <w:szCs w:val="24"/>
          <w:lang w:val="lt-LT"/>
        </w:rPr>
      </w:pPr>
      <w:r w:rsidRPr="005241F6">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Default="005241F6" w:rsidP="003A4B54">
      <w:pPr>
        <w:spacing w:after="0" w:line="240" w:lineRule="auto"/>
        <w:rPr>
          <w:rFonts w:ascii="Arial" w:hAnsi="Arial" w:cs="Arial"/>
          <w:sz w:val="24"/>
          <w:szCs w:val="24"/>
          <w:lang w:val="lt-LT"/>
        </w:rPr>
      </w:pPr>
    </w:p>
    <w:p w14:paraId="6DCD5414" w14:textId="77777777" w:rsidR="00F51677" w:rsidRDefault="00F51677" w:rsidP="003A4B54">
      <w:pPr>
        <w:spacing w:after="0" w:line="240" w:lineRule="auto"/>
        <w:rPr>
          <w:rFonts w:ascii="Arial" w:hAnsi="Arial" w:cs="Arial"/>
          <w:sz w:val="24"/>
          <w:szCs w:val="24"/>
          <w:lang w:val="lt-LT"/>
        </w:rPr>
      </w:pPr>
    </w:p>
    <w:p w14:paraId="5D32D84E" w14:textId="2FD9F8AB" w:rsidR="00A02DFC"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D6D0F"/>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57B3C"/>
    <w:rsid w:val="0076462C"/>
    <w:rsid w:val="00766A65"/>
    <w:rsid w:val="00791839"/>
    <w:rsid w:val="00792B03"/>
    <w:rsid w:val="007A7986"/>
    <w:rsid w:val="007B1B94"/>
    <w:rsid w:val="007B7E0B"/>
    <w:rsid w:val="007C0F54"/>
    <w:rsid w:val="007C3BEB"/>
    <w:rsid w:val="007C45D7"/>
    <w:rsid w:val="007F32EC"/>
    <w:rsid w:val="00807444"/>
    <w:rsid w:val="0081345E"/>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9D3C85"/>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51677"/>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2543</Words>
  <Characters>1450</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44</cp:revision>
  <cp:lastPrinted>2024-02-19T14:48:00Z</cp:lastPrinted>
  <dcterms:created xsi:type="dcterms:W3CDTF">2024-08-12T13:31:00Z</dcterms:created>
  <dcterms:modified xsi:type="dcterms:W3CDTF">2025-06-09T06:55:00Z</dcterms:modified>
</cp:coreProperties>
</file>