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3"/>
        <w:gridCol w:w="6"/>
        <w:gridCol w:w="6"/>
        <w:gridCol w:w="9048"/>
        <w:gridCol w:w="13"/>
      </w:tblGrid>
      <w:tr w:rsidR="00215693" w:rsidRPr="00E46D9F" w:rsidTr="0021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215693" w:rsidRPr="00E46D9F" w:rsidTr="002156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PATVIRTINTA</w:t>
                  </w:r>
                </w:p>
              </w:tc>
            </w:tr>
            <w:tr w:rsidR="00215693" w:rsidRPr="00E46D9F" w:rsidTr="002156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Klaipėdos rajono savivaldybės administracijos</w:t>
                  </w:r>
                  <w:r w:rsidR="0003206F" w:rsidRPr="00E46D9F">
                    <w:rPr>
                      <w:color w:val="000000"/>
                      <w:sz w:val="24"/>
                      <w:lang w:val="lt-LT"/>
                    </w:rPr>
                    <w:t xml:space="preserve"> direktoriaus</w:t>
                  </w:r>
                </w:p>
              </w:tc>
            </w:tr>
            <w:tr w:rsidR="00215693" w:rsidRPr="00E46D9F" w:rsidTr="002156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2025 m. liepos 21 d.</w:t>
                  </w:r>
                </w:p>
              </w:tc>
            </w:tr>
            <w:tr w:rsidR="00215693" w:rsidRPr="00E46D9F" w:rsidTr="002156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įsakymu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Nr.: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AV-1087</w:t>
                  </w:r>
                </w:p>
              </w:tc>
            </w:tr>
            <w:tr w:rsidR="00215693" w:rsidRPr="00E46D9F" w:rsidTr="002156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  <w:tr w:rsidR="00215693" w:rsidRPr="00E46D9F" w:rsidTr="002156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KLAIPĖDOS RAJONO SAVIVALDYBĖS ADMINISTRACIJOS</w:t>
                  </w:r>
                </w:p>
              </w:tc>
            </w:tr>
            <w:tr w:rsidR="00215693" w:rsidRPr="00E46D9F" w:rsidTr="002156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VYRIAUSIOJO SPECIALISTO</w:t>
                  </w:r>
                </w:p>
              </w:tc>
            </w:tr>
            <w:tr w:rsidR="00215693" w:rsidRPr="00E46D9F" w:rsidTr="0021569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PAREIGYBĖS APRAŠYMAS</w:t>
                  </w:r>
                </w:p>
              </w:tc>
            </w:tr>
          </w:tbl>
          <w:p w:rsidR="00000000" w:rsidRPr="00E46D9F" w:rsidRDefault="009F451E">
            <w:pPr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000000" w:rsidRPr="00E4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48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215693" w:rsidRPr="00E46D9F" w:rsidTr="0021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I SKYRIUS</w:t>
                  </w:r>
                </w:p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 xml:space="preserve">PAREIGYBĖS </w:t>
                  </w: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CHARAKTERISTIKA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1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. Pareigybės lygmuo –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IX pareigybės lygmuo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2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. Šias pareigas einantis valstybės tarnautojas tiesiogiai pavaldus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savivaldybės administracijos direktoriui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.</w:t>
                  </w:r>
                </w:p>
              </w:tc>
            </w:tr>
          </w:tbl>
          <w:p w:rsidR="00000000" w:rsidRPr="00E46D9F" w:rsidRDefault="009F451E">
            <w:pPr>
              <w:rPr>
                <w:lang w:val="lt-LT"/>
              </w:rPr>
            </w:pPr>
          </w:p>
        </w:tc>
      </w:tr>
      <w:tr w:rsidR="00000000" w:rsidRPr="00E4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48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215693" w:rsidRPr="00E46D9F" w:rsidTr="0021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II SKYRIUS</w:t>
                  </w:r>
                </w:p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VEIKLOS SRITIS</w:t>
                  </w:r>
                  <w:r w:rsidRPr="00E46D9F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3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.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Teisės aktų ir administracinių spre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ndimų įgyvendinimo ir laikymosi priežiūra.</w:t>
                        </w:r>
                      </w:p>
                    </w:tc>
                  </w:tr>
                </w:tbl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</w:tbl>
          <w:p w:rsidR="00000000" w:rsidRPr="00E46D9F" w:rsidRDefault="009F451E">
            <w:pPr>
              <w:rPr>
                <w:lang w:val="lt-LT"/>
              </w:rPr>
            </w:pPr>
          </w:p>
        </w:tc>
      </w:tr>
      <w:tr w:rsidR="00000000" w:rsidRPr="00E4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48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215693" w:rsidRPr="00E46D9F" w:rsidTr="0021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III SKYRIUS</w:t>
                  </w:r>
                </w:p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PAREIGYBĖS SPECIALIZACIJA</w:t>
                  </w:r>
                  <w:r w:rsidRPr="00E46D9F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4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.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Pasirengimas mobilizacijai, demobilizacijai ir priimančiosios šalies paramos teikimui, šios veiklos koordinavimas, organizavimas ir kontroliavimas.</w:t>
                        </w:r>
                      </w:p>
                    </w:tc>
                  </w:tr>
                </w:tbl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</w:tbl>
          <w:p w:rsidR="00000000" w:rsidRPr="00E46D9F" w:rsidRDefault="009F451E">
            <w:pPr>
              <w:rPr>
                <w:lang w:val="lt-LT"/>
              </w:rPr>
            </w:pPr>
          </w:p>
        </w:tc>
      </w:tr>
      <w:tr w:rsidR="00000000" w:rsidRPr="00E4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48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215693" w:rsidRPr="00E46D9F" w:rsidTr="0021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7"/>
                  </w:tblGrid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E46D9F"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  <w:t xml:space="preserve">IV SKYRIUS </w:t>
                        </w:r>
                      </w:p>
                      <w:p w:rsidR="00000000" w:rsidRPr="00E46D9F" w:rsidRDefault="009F451E">
                        <w:pPr>
                          <w:jc w:val="center"/>
                          <w:rPr>
                            <w:lang w:val="lt-LT"/>
                          </w:rPr>
                        </w:pPr>
                        <w:r w:rsidRPr="00E46D9F">
                          <w:rPr>
                            <w:b/>
                            <w:color w:val="000000"/>
                            <w:sz w:val="24"/>
                            <w:lang w:val="lt-LT"/>
                          </w:rPr>
                          <w:t>FUNKCIJOS</w:t>
                        </w:r>
                      </w:p>
                    </w:tc>
                  </w:tr>
                </w:tbl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</w:tbl>
          <w:p w:rsidR="00000000" w:rsidRPr="00E46D9F" w:rsidRDefault="009F451E">
            <w:pPr>
              <w:rPr>
                <w:lang w:val="lt-LT"/>
              </w:rPr>
            </w:pPr>
          </w:p>
        </w:tc>
      </w:tr>
      <w:tr w:rsidR="00000000" w:rsidRPr="00E4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48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215693" w:rsidRPr="00E46D9F" w:rsidTr="0021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5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.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Vykdo kitus nenuolatinio pobūdžio su įstaigos veikla susijusius pavedimus.</w:t>
                  </w:r>
                </w:p>
              </w:tc>
            </w:tr>
          </w:tbl>
          <w:p w:rsidR="00000000" w:rsidRPr="00E46D9F" w:rsidRDefault="009F451E">
            <w:pPr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215693" w:rsidRPr="00E46D9F" w:rsidTr="0021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1"/>
            </w:tblGrid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Atlieka Dėl Tipinio civilinės mobilizacijos institucijos valstybės tarnautojo, atsakingo už Lietuvos Respub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likos mobilizacijos ir priimančiosios šalies paramos įstatymo 10 straipsnio 1 dalyje nustatytų funkcijų atlikimo organizavimą, koordinavimą ir kontrolę, pareigybės aprašymo tvirtinimo nustatytas funkcijas: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1.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Renka, kaupia ir sistemina duomenis, reikali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ngus civilinės mobilizacijos institucijos mobilizacijos planui parengti, rengia šį planą.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2.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Rengia administracinių teisės aktų projektus dėl pasirengimo mobilizacijai, priimančiosios šalies paramos (toliau - PŠP) teikimo.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3.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Teikia siūlymus dėl vals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tybinių mobilizacinių užduočių, mobilizacijos planų ir mobilizacinių nurodymų mobilizacijai, PŠP teikimo užduočių ir mobilizacinių .nurodymų PŠP teikimui vykdyti, konsultuoja suinteresuotus asmenis mobilizacijos ir PŠP teikimo klausimais.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4.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Nustato mob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ilizacinių išteklių poreikį skirtoms valstybinėms mobilizacinėms ir (ar) PŠP teikimo užduotims atlikti, tvarko turimų mobilizacinių išteklių apskaitą ir planuoja trūkstamų mobilizacinių išteklių sutelkimą, koordinuoja ir kontroliuoja pavaldžių subjektų mob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ilizacinių išteklių sutelkimą.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5.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Užtikrina NATO PŠP teikimo reikalavimų įgyvendinimą jam priskirtų kompetencijų ribose.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lastRenderedPageBreak/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Planuoja lėšas, reikalingas pasirengti vykdyti mobilizaciją ir teikti PŠP.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7.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Rengia mobilizacinio užsakymo ir (ar) PŠP tei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kimo sutarčių technines specifikacijas, sąlygas ir reikalavimus sutartims sudaryti, teikia išvadas ir siūlymus dėl jų sudarymo.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8.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Rengia pagalbos sutartis su nevyriausybinėmis organizacijomis (toliau - NVO), pagal kurias NVO padės užtikrinti paskirtų v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alstybinių mobilizacinių užduočių vykdymą.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9.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Atlieka mobilizacinių ūkio subjektų patikrinimus dėl pasirengimo vykdyti mobilizacinio užsakymo ir (ar) PŠP teikimo sutartyse nustatytus įsipareigojimus.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10.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Atlieka veiksmus, reikalingus civilinės mobili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zacijos institucijos civilinio mobilizacinio personalo rezervo (toliau - CMPR) sudarymui ir tvarko CMPR.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11.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Koordinuoja civilinei mobilizacinei institucijai pavaldžių subjektų, kurių veiksmai ir priemonės numatyti civilinės mobilizacijos institucijos m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obilizacijos plane, ir mobilizacinių ūkio subjektų, su kuriais sudarytų mobilizacinio užsakymo ir (ar) PŠP teikimo sutarčių sąrašai yra įtraukti į mobilizacijos planą, CMPR sudarymą.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12.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Konsultuoja civilinei mobilizacijos institucijai pavaldžius subjek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tus, kurių veiksmai ir priemonės numatyti civilinės mobilizacijos institucijos mobilizacijos plane, mobilizacinius ūkio subjektus pasirengimo mobilizacijai, PŠP teikimo, CMPR sudarymo klausimais.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13.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Supažindina (pasirašytinai) į civilinės mobilizacijos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institucijos CMPR įrašytus asmenis su jų funkcijomis, atliekamomis mobilizacijos metu ir (ar) teikiant PŠP.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14.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Renka duomenis, reikalingus Valstybės mobilizacinių galimybių katalogui, teikia juos Mobilizacijos ir pilietinio pasipriešinimo departamentu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i prie Krašto apsaugos ministerijos.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15.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Dalyvauja organizuojant ir vykdant mobilizacinius ar PŠP mokymus.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16.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Koordinuoja civilinės mobilizacijos institucijos į CMPR įrašytų asmenų mobilizacijos ir pilietinio pasipriešinimo mokymų išklausymą ir kont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roliuoja į civilinei mobilizacijos institucijai pavaldaus subjekto CMPR įrašytų asmenų mobilizacijos ir pilietinio pasipriešinimo mokymų išklausymą.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17.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Planuoja, organizuoja ir dalyvauja pratybose, kurių metu imituojamas civilinės mobilizacijos institu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cijos mobilizacijos plano įgyvendinimas, dalyvauja organizuojant ir vykdant tarpinstitucinio lygmens pratybas.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18.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Dalyvauja civilinėje mobilizacijos institucijoje įgyvendinant pilietinio pasipriešinimo uždavinius atsižvelgiant į tai, kiek ši veikla sus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ijusi su mobilizacijos ir PŠP teikimo uždaviniais.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19.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Dalyvauja įgyvendinant krizių valdymo ir civilinės saugos sistemos uždavinius atsižvelgiant į tai, kiek ši veikla susijusi su mobilizacijos sistemos ir PŠP teikimo uždaviniais ir kiek tai reikalinga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bendrai sąveikai užtikrinti.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6.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20.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Dalyvauja organizuojant ir vykdant piliečių rengimo pilietiniam pasipriešinimui mokymus pasitelkiant savivaldybei pavaldžius subjektus, NVO ir bendruomenines organizacijas.</w:t>
                  </w:r>
                </w:p>
              </w:tc>
            </w:tr>
          </w:tbl>
          <w:p w:rsidR="00000000" w:rsidRPr="00E46D9F" w:rsidRDefault="009F451E">
            <w:pPr>
              <w:rPr>
                <w:lang w:val="lt-LT"/>
              </w:rPr>
            </w:pPr>
          </w:p>
        </w:tc>
      </w:tr>
      <w:tr w:rsidR="00000000" w:rsidRPr="00E4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48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215693" w:rsidRPr="00E46D9F" w:rsidTr="0021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1"/>
            </w:tblGrid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V SKYRIUS</w:t>
                  </w:r>
                </w:p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SPECIALIEJI REIKALA</w:t>
                  </w: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VIMAI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7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 xml:space="preserve">. 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Išsilavinimo ir darbo patirties reikalavimai:</w:t>
                  </w:r>
                  <w:r w:rsidRPr="00E46D9F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1"/>
                  </w:tblGrid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7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000000" w:rsidRPr="00E46D9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00000" w:rsidRPr="00E46D9F" w:rsidRDefault="009F451E">
                              <w:pPr>
                                <w:rPr>
                                  <w:lang w:val="lt-LT"/>
                                </w:rPr>
                              </w:pP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lastRenderedPageBreak/>
                                <w:t>7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 išsilavinimas – 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aukštasis universitetinis išsilavinimas (bakalauro kvalifikacinis laipsnis) arba jam lygiavertė aukštojo mokslo kvalifikacija;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00000" w:rsidRPr="00E46D9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00000" w:rsidRPr="00E46D9F" w:rsidRDefault="009F451E">
                              <w:pPr>
                                <w:rPr>
                                  <w:lang w:val="lt-LT"/>
                                </w:rPr>
                              </w:pP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7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2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 studijų kryptis – 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ekonomika;</w:t>
                              </w:r>
                            </w:p>
                          </w:tc>
                        </w:tr>
                        <w:tr w:rsidR="00000000" w:rsidRPr="00E46D9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00000" w:rsidRPr="00E46D9F" w:rsidRDefault="009F451E">
                              <w:pPr>
                                <w:rPr>
                                  <w:lang w:val="lt-LT"/>
                                </w:rPr>
                              </w:pP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7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3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 studijų 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kryptis – 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teisė;</w:t>
                              </w:r>
                            </w:p>
                          </w:tc>
                        </w:tr>
                        <w:tr w:rsidR="00000000" w:rsidRPr="00E46D9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00000" w:rsidRPr="00E46D9F" w:rsidRDefault="009F451E">
                              <w:pPr>
                                <w:rPr>
                                  <w:lang w:val="lt-LT"/>
                                </w:rPr>
                              </w:pP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7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4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 studijų kryptis – 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viešasis saugumas;</w:t>
                              </w:r>
                            </w:p>
                          </w:tc>
                        </w:tr>
                        <w:tr w:rsidR="00000000" w:rsidRPr="00E46D9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00000" w:rsidRPr="00E46D9F" w:rsidRDefault="009F451E">
                              <w:pPr>
                                <w:rPr>
                                  <w:lang w:val="lt-LT"/>
                                </w:rPr>
                              </w:pP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7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5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 studijų kryptis – 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filologija pagal kalbą (Anglų) (arba);</w:t>
                              </w:r>
                            </w:p>
                          </w:tc>
                        </w:tr>
                      </w:tbl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rFonts w:ascii="Arial" w:eastAsia="Arial" w:hAnsi="Arial"/>
                            <w:color w:val="000000"/>
                            <w:lang w:val="lt-LT"/>
                          </w:rPr>
                          <w:t>arba:</w:t>
                        </w:r>
                      </w:p>
                    </w:tc>
                  </w:tr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8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000000" w:rsidRPr="00E46D9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00000" w:rsidRPr="00E46D9F" w:rsidRDefault="009F451E">
                              <w:pPr>
                                <w:rPr>
                                  <w:lang w:val="lt-LT"/>
                                </w:rPr>
                              </w:pP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7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6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 išsilavinimas – 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aukštasis universitetinis išsilavinimas (bakalauro kvalifikacinis laipsnis) arba jam lygiavertė aukšto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jo mokslo kvalifikacija;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000000" w:rsidRPr="00E46D9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00000" w:rsidRPr="00E46D9F" w:rsidRDefault="009F451E">
                              <w:pPr>
                                <w:rPr>
                                  <w:lang w:val="lt-LT"/>
                                </w:rPr>
                              </w:pP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7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7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 darbo patirtis – 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gynybos ar viešojo saugumo srityje arba civilinės saugos ir ekstremaliųjų situacijų valdymo srityje;</w:t>
                              </w:r>
                            </w:p>
                          </w:tc>
                        </w:tr>
                        <w:tr w:rsidR="00000000" w:rsidRPr="00E46D9F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000000" w:rsidRPr="00E46D9F" w:rsidRDefault="009F451E">
                              <w:pPr>
                                <w:rPr>
                                  <w:lang w:val="lt-LT"/>
                                </w:rPr>
                              </w:pP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7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.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8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. darbo patirties trukmė – 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>1 metai;</w:t>
                              </w:r>
                              <w:r w:rsidRPr="00E46D9F">
                                <w:rPr>
                                  <w:color w:val="000000"/>
                                  <w:sz w:val="24"/>
                                  <w:lang w:val="lt-LT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</w:p>
                    </w:tc>
                  </w:tr>
                </w:tbl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8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. Užsienio kalba (-</w:t>
                  </w:r>
                  <w:proofErr w:type="spellStart"/>
                  <w:r w:rsidRPr="00E46D9F">
                    <w:rPr>
                      <w:color w:val="000000"/>
                      <w:sz w:val="24"/>
                      <w:lang w:val="lt-LT"/>
                    </w:rPr>
                    <w:t>os</w:t>
                  </w:r>
                  <w:proofErr w:type="spellEnd"/>
                  <w:r w:rsidRPr="00E46D9F">
                    <w:rPr>
                      <w:color w:val="000000"/>
                      <w:sz w:val="24"/>
                      <w:lang w:val="lt-LT"/>
                    </w:rPr>
                    <w:t>) ir jos (-ų) mokėjimo lygis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:</w:t>
                  </w:r>
                  <w:r w:rsidRPr="00E46D9F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1"/>
                  </w:tblGrid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8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.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.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a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nglų (B2).</w:t>
                        </w:r>
                      </w:p>
                    </w:tc>
                  </w:tr>
                </w:tbl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9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. Atitikimas kitiems reikalavimams:</w:t>
                  </w:r>
                  <w:r w:rsidRPr="00E46D9F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1"/>
                  </w:tblGrid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9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.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.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atitikti teisės aktuose nustatytus reikalavimus, būtinus išduodant leidimą dirbti ar susipažinti su įslaptinta informacija, žymima slaptumo žyma „Slaptai“.</w:t>
                        </w:r>
                      </w:p>
                    </w:tc>
                  </w:tr>
                </w:tbl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</w:tbl>
          <w:p w:rsidR="00000000" w:rsidRPr="00E46D9F" w:rsidRDefault="009F451E">
            <w:pPr>
              <w:rPr>
                <w:lang w:val="lt-LT"/>
              </w:rPr>
            </w:pPr>
          </w:p>
        </w:tc>
      </w:tr>
      <w:tr w:rsidR="00000000" w:rsidRPr="00E4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48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215693" w:rsidRPr="00E46D9F" w:rsidTr="0021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VI SKYRIUS</w:t>
                  </w:r>
                </w:p>
                <w:p w:rsidR="00000000" w:rsidRPr="00E46D9F" w:rsidRDefault="009F451E">
                  <w:pPr>
                    <w:jc w:val="center"/>
                    <w:rPr>
                      <w:lang w:val="lt-LT"/>
                    </w:rPr>
                  </w:pPr>
                  <w:r w:rsidRPr="00E46D9F">
                    <w:rPr>
                      <w:b/>
                      <w:color w:val="000000"/>
                      <w:sz w:val="24"/>
                      <w:lang w:val="lt-LT"/>
                    </w:rPr>
                    <w:t>KOMPETENCIJOS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10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. Bendrosios kompetencijos ir jų pakankami lygiai:</w:t>
                  </w:r>
                  <w:r w:rsidRPr="00E46D9F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10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.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.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komunikacija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 –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3;</w:t>
                        </w:r>
                      </w:p>
                    </w:tc>
                  </w:tr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10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.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.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analizė ir pagrindimas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 –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4;</w:t>
                        </w:r>
                      </w:p>
                    </w:tc>
                  </w:tr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10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.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3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.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patikimumas ir atsakingumas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 –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3;</w:t>
                        </w:r>
                      </w:p>
                    </w:tc>
                  </w:tr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10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.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4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.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organizuotumas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 –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3;</w:t>
                        </w:r>
                      </w:p>
                    </w:tc>
                  </w:tr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10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.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5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.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vertės visuomenei kūrimas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 –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3.</w:t>
                        </w:r>
                      </w:p>
                    </w:tc>
                  </w:tr>
                </w:tbl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11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. Specifinės kompetencijos ir jų p</w:t>
                  </w:r>
                  <w:r w:rsidRPr="00E46D9F">
                    <w:rPr>
                      <w:color w:val="000000"/>
                      <w:sz w:val="24"/>
                      <w:lang w:val="lt-LT"/>
                    </w:rPr>
                    <w:t>akankami lygiai:</w:t>
                  </w:r>
                  <w:r w:rsidRPr="00E46D9F">
                    <w:rPr>
                      <w:color w:val="FFFFFF"/>
                      <w:sz w:val="24"/>
                      <w:lang w:val="lt-LT"/>
                    </w:rPr>
                    <w:t>0</w:t>
                  </w: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11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.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1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.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kontrolės ir priežiūros proceso valdymas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 –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3;</w:t>
                        </w:r>
                      </w:p>
                    </w:tc>
                  </w:tr>
                  <w:tr w:rsidR="00000000" w:rsidRPr="00E46D9F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000000" w:rsidRPr="00E46D9F" w:rsidRDefault="009F451E">
                        <w:pPr>
                          <w:rPr>
                            <w:lang w:val="lt-LT"/>
                          </w:rPr>
                        </w:pP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11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.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2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.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informacijos valdymas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 xml:space="preserve"> – </w:t>
                        </w:r>
                        <w:r w:rsidRPr="00E46D9F">
                          <w:rPr>
                            <w:color w:val="000000"/>
                            <w:sz w:val="24"/>
                            <w:lang w:val="lt-LT"/>
                          </w:rPr>
                          <w:t>3.</w:t>
                        </w:r>
                      </w:p>
                    </w:tc>
                  </w:tr>
                </w:tbl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</w:tbl>
          <w:p w:rsidR="00000000" w:rsidRPr="00E46D9F" w:rsidRDefault="009F451E">
            <w:pPr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000000" w:rsidRPr="00E4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48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215693" w:rsidRPr="00E46D9F" w:rsidTr="00215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6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sz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  <w:r w:rsidRPr="00E46D9F">
                    <w:rPr>
                      <w:color w:val="000000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  <w:tr w:rsidR="00000000" w:rsidRPr="00E46D9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Pr="00E46D9F" w:rsidRDefault="009F451E">
                  <w:pPr>
                    <w:rPr>
                      <w:lang w:val="lt-LT"/>
                    </w:rPr>
                  </w:pPr>
                </w:p>
              </w:tc>
            </w:tr>
          </w:tbl>
          <w:p w:rsidR="00000000" w:rsidRPr="00E46D9F" w:rsidRDefault="009F451E">
            <w:pPr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  <w:tr w:rsidR="00000000" w:rsidRPr="00E46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5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9048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  <w:tc>
          <w:tcPr>
            <w:tcW w:w="13" w:type="dxa"/>
          </w:tcPr>
          <w:p w:rsidR="00000000" w:rsidRPr="00E46D9F" w:rsidRDefault="009F451E">
            <w:pPr>
              <w:pStyle w:val="EmptyLayoutCell"/>
              <w:rPr>
                <w:lang w:val="lt-LT"/>
              </w:rPr>
            </w:pPr>
          </w:p>
        </w:tc>
      </w:tr>
    </w:tbl>
    <w:p w:rsidR="009F451E" w:rsidRPr="00E46D9F" w:rsidRDefault="009F451E">
      <w:pPr>
        <w:rPr>
          <w:lang w:val="lt-LT"/>
        </w:rPr>
      </w:pPr>
    </w:p>
    <w:sectPr w:rsidR="009F451E" w:rsidRPr="00E46D9F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93"/>
    <w:rsid w:val="0003206F"/>
    <w:rsid w:val="00215693"/>
    <w:rsid w:val="009F451E"/>
    <w:rsid w:val="00E4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DFEB8-FABD-40E5-8220-39EE5BEC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4192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Lina Simkuviene</dc:creator>
  <cp:keywords/>
  <cp:lastModifiedBy>Lina Simkuviene</cp:lastModifiedBy>
  <cp:revision>4</cp:revision>
  <dcterms:created xsi:type="dcterms:W3CDTF">2025-07-21T10:06:00Z</dcterms:created>
  <dcterms:modified xsi:type="dcterms:W3CDTF">2025-07-21T10:06:00Z</dcterms:modified>
</cp:coreProperties>
</file>