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2F4FAA5C" w:rsidR="00C11CFF" w:rsidRPr="000751F4" w:rsidRDefault="0076198B"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6C1CA8C4"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711A35">
        <w:rPr>
          <w:rFonts w:ascii="Arial" w:hAnsi="Arial" w:cs="Arial"/>
        </w:rPr>
        <w:t xml:space="preserve">07-24 </w:t>
      </w:r>
      <w:r w:rsidRPr="000751F4">
        <w:rPr>
          <w:rFonts w:ascii="Arial" w:hAnsi="Arial" w:cs="Arial"/>
        </w:rPr>
        <w:t>prašymą, informuojame, kad negalime pritarti žemės sklyp</w:t>
      </w:r>
      <w:r w:rsidR="00754107">
        <w:rPr>
          <w:rFonts w:ascii="Arial" w:hAnsi="Arial" w:cs="Arial"/>
        </w:rPr>
        <w:t>o</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711A35">
        <w:rPr>
          <w:rFonts w:ascii="Arial" w:hAnsi="Arial" w:cs="Arial"/>
        </w:rPr>
        <w:t>23</w:t>
      </w:r>
      <w:r w:rsidR="00454239" w:rsidRPr="00454239">
        <w:rPr>
          <w:rFonts w:ascii="Arial" w:hAnsi="Arial" w:cs="Arial"/>
        </w:rPr>
        <w:t>/00</w:t>
      </w:r>
      <w:r w:rsidR="00754107">
        <w:rPr>
          <w:rFonts w:ascii="Arial" w:hAnsi="Arial" w:cs="Arial"/>
        </w:rPr>
        <w:t>0</w:t>
      </w:r>
      <w:r w:rsidR="00711A35">
        <w:rPr>
          <w:rFonts w:ascii="Arial" w:hAnsi="Arial" w:cs="Arial"/>
        </w:rPr>
        <w:t>5</w:t>
      </w:r>
      <w:r w:rsidR="00454239" w:rsidRPr="00454239">
        <w:rPr>
          <w:rFonts w:ascii="Arial" w:hAnsi="Arial" w:cs="Arial"/>
        </w:rPr>
        <w:t>:</w:t>
      </w:r>
      <w:bookmarkEnd w:id="1"/>
      <w:r w:rsidR="00711A35">
        <w:rPr>
          <w:rFonts w:ascii="Arial" w:hAnsi="Arial" w:cs="Arial"/>
        </w:rPr>
        <w:t>4</w:t>
      </w:r>
      <w:r w:rsidR="00754107">
        <w:rPr>
          <w:rFonts w:ascii="Arial" w:hAnsi="Arial" w:cs="Arial"/>
        </w:rPr>
        <w:t xml:space="preserve"> </w:t>
      </w:r>
      <w:proofErr w:type="spellStart"/>
      <w:r w:rsidR="00711A35">
        <w:rPr>
          <w:rFonts w:ascii="Arial" w:hAnsi="Arial" w:cs="Arial"/>
        </w:rPr>
        <w:t>Žemgrindžių</w:t>
      </w:r>
      <w:proofErr w:type="spellEnd"/>
      <w:r w:rsidR="00CF5716">
        <w:rPr>
          <w:rFonts w:ascii="Arial" w:hAnsi="Arial" w:cs="Arial"/>
        </w:rPr>
        <w:t xml:space="preserve"> k.</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1656FE51" w:rsidR="00754107" w:rsidRPr="00754107" w:rsidRDefault="00E83817" w:rsidP="00754107">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755D96">
        <w:rPr>
          <w:rFonts w:ascii="Arial" w:hAnsi="Arial" w:cs="Arial"/>
        </w:rPr>
        <w:t xml:space="preserve">Prašyme nepagrįstas </w:t>
      </w:r>
      <w:r w:rsidR="00755D96">
        <w:rPr>
          <w:rFonts w:ascii="Arial" w:hAnsi="Arial" w:cs="Arial"/>
          <w:bCs/>
        </w:rPr>
        <w:t>p</w:t>
      </w:r>
      <w:r w:rsidR="00754107">
        <w:rPr>
          <w:rFonts w:ascii="Arial" w:hAnsi="Arial" w:cs="Arial"/>
          <w:bCs/>
        </w:rPr>
        <w:t>lanuojam</w:t>
      </w:r>
      <w:r w:rsidR="00755D96">
        <w:rPr>
          <w:rFonts w:ascii="Arial" w:hAnsi="Arial" w:cs="Arial"/>
          <w:bCs/>
        </w:rPr>
        <w:t>os</w:t>
      </w:r>
      <w:r w:rsidR="00754107">
        <w:rPr>
          <w:rFonts w:ascii="Arial" w:hAnsi="Arial" w:cs="Arial"/>
          <w:bCs/>
        </w:rPr>
        <w:t xml:space="preserve"> teritorij</w:t>
      </w:r>
      <w:r w:rsidR="00755D96">
        <w:rPr>
          <w:rFonts w:ascii="Arial" w:hAnsi="Arial" w:cs="Arial"/>
          <w:bCs/>
        </w:rPr>
        <w:t>os</w:t>
      </w:r>
      <w:r w:rsidR="00754107">
        <w:rPr>
          <w:rFonts w:ascii="Arial" w:hAnsi="Arial" w:cs="Arial"/>
          <w:bCs/>
        </w:rPr>
        <w:t xml:space="preserve"> </w:t>
      </w:r>
      <w:r w:rsidR="00755D96">
        <w:rPr>
          <w:rFonts w:ascii="Arial" w:hAnsi="Arial" w:cs="Arial"/>
          <w:bCs/>
        </w:rPr>
        <w:t>atitikimas</w:t>
      </w:r>
      <w:r w:rsidR="00754107">
        <w:rPr>
          <w:rFonts w:ascii="Arial" w:hAnsi="Arial" w:cs="Arial"/>
          <w:bCs/>
        </w:rPr>
        <w:t xml:space="preserve"> kvartalo </w:t>
      </w:r>
      <w:r w:rsidR="00755D96">
        <w:rPr>
          <w:rFonts w:ascii="Arial" w:hAnsi="Arial" w:cs="Arial"/>
          <w:bCs/>
        </w:rPr>
        <w:t>sąvokai.</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w:t>
      </w:r>
      <w:bookmarkStart w:id="2" w:name="_Hlk204761221"/>
      <w:r w:rsidRPr="00754107">
        <w:rPr>
          <w:rFonts w:ascii="Arial" w:hAnsi="Arial" w:cs="Arial"/>
          <w:bCs/>
        </w:rPr>
        <w:t>mažiausiai iš trijų pusių riboja inžinerinių komunikacijų koridoriai ar natūralūs barjerai</w:t>
      </w:r>
      <w:bookmarkEnd w:id="2"/>
      <w:r w:rsidRPr="00754107">
        <w:rPr>
          <w:rFonts w:ascii="Arial" w:hAnsi="Arial" w:cs="Arial"/>
          <w:bCs/>
        </w:rPr>
        <w:t xml:space="preserve">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232914E0" w14:textId="2D9855F2" w:rsidR="00711A35" w:rsidRDefault="00711A35" w:rsidP="004E5F05">
      <w:pPr>
        <w:spacing w:line="276" w:lineRule="auto"/>
        <w:ind w:firstLine="720"/>
        <w:jc w:val="both"/>
        <w:rPr>
          <w:rFonts w:ascii="Arial" w:hAnsi="Arial" w:cs="Arial"/>
          <w:bCs/>
        </w:rPr>
      </w:pPr>
      <w:r>
        <w:rPr>
          <w:rFonts w:ascii="Arial" w:hAnsi="Arial" w:cs="Arial"/>
          <w:bCs/>
        </w:rPr>
        <w:t xml:space="preserve">Jūsų schemoje ties viena puse nurodytas vietinės reikšmės kelias faktiškai neegzistuoja ir dalis jo eina per vandens telkinį. Ties kita puse planuojamos </w:t>
      </w:r>
      <w:r w:rsidR="00CA7ED3">
        <w:rPr>
          <w:rFonts w:ascii="Arial" w:hAnsi="Arial" w:cs="Arial"/>
          <w:bCs/>
        </w:rPr>
        <w:t>teritorijos</w:t>
      </w:r>
      <w:r>
        <w:rPr>
          <w:rFonts w:ascii="Arial" w:hAnsi="Arial" w:cs="Arial"/>
          <w:bCs/>
        </w:rPr>
        <w:t xml:space="preserve"> riba kerta vandens telkinį </w:t>
      </w:r>
      <w:r w:rsidR="00D92F61">
        <w:rPr>
          <w:rFonts w:ascii="Arial" w:hAnsi="Arial" w:cs="Arial"/>
          <w:bCs/>
        </w:rPr>
        <w:t xml:space="preserve">(kvartalas natūralių barjerų turėtų būti apribotas). Todėl turi būti planuojama </w:t>
      </w:r>
      <w:r w:rsidR="00CA7ED3">
        <w:rPr>
          <w:rFonts w:ascii="Arial" w:hAnsi="Arial" w:cs="Arial"/>
          <w:bCs/>
        </w:rPr>
        <w:t>didesnė</w:t>
      </w:r>
      <w:r w:rsidR="00D92F61">
        <w:rPr>
          <w:rFonts w:ascii="Arial" w:hAnsi="Arial" w:cs="Arial"/>
          <w:bCs/>
        </w:rPr>
        <w:t xml:space="preserve"> teritorija, apribota </w:t>
      </w:r>
      <w:r w:rsidR="00D92F61" w:rsidRPr="00D92F61">
        <w:rPr>
          <w:rFonts w:ascii="Arial" w:hAnsi="Arial" w:cs="Arial"/>
          <w:bCs/>
        </w:rPr>
        <w:t>mažiausiai iš trijų pusių inžinerinių komunikacijų koridori</w:t>
      </w:r>
      <w:r w:rsidR="00D92F61">
        <w:rPr>
          <w:rFonts w:ascii="Arial" w:hAnsi="Arial" w:cs="Arial"/>
          <w:bCs/>
        </w:rPr>
        <w:t>ų</w:t>
      </w:r>
      <w:r w:rsidR="00D92F61" w:rsidRPr="00D92F61">
        <w:rPr>
          <w:rFonts w:ascii="Arial" w:hAnsi="Arial" w:cs="Arial"/>
          <w:bCs/>
        </w:rPr>
        <w:t xml:space="preserve"> ar natūral</w:t>
      </w:r>
      <w:r w:rsidR="00D92F61">
        <w:rPr>
          <w:rFonts w:ascii="Arial" w:hAnsi="Arial" w:cs="Arial"/>
          <w:bCs/>
        </w:rPr>
        <w:t xml:space="preserve">ių </w:t>
      </w:r>
      <w:r w:rsidR="00D92F61" w:rsidRPr="00D92F61">
        <w:rPr>
          <w:rFonts w:ascii="Arial" w:hAnsi="Arial" w:cs="Arial"/>
          <w:bCs/>
        </w:rPr>
        <w:t>barjer</w:t>
      </w:r>
      <w:r w:rsidR="00D92F61">
        <w:rPr>
          <w:rFonts w:ascii="Arial" w:hAnsi="Arial" w:cs="Arial"/>
          <w:bCs/>
        </w:rPr>
        <w:t>ų.</w:t>
      </w:r>
    </w:p>
    <w:p w14:paraId="6796A61C" w14:textId="79F5062F" w:rsidR="00D92F61" w:rsidRPr="00D92F61" w:rsidRDefault="00D92F61" w:rsidP="00D92F61">
      <w:pPr>
        <w:spacing w:line="276" w:lineRule="auto"/>
        <w:ind w:firstLine="720"/>
        <w:jc w:val="both"/>
        <w:rPr>
          <w:rFonts w:ascii="Arial" w:hAnsi="Arial" w:cs="Arial"/>
          <w:bCs/>
        </w:rPr>
      </w:pPr>
      <w:r w:rsidRPr="00D92F61">
        <w:rPr>
          <w:rFonts w:ascii="Arial" w:hAnsi="Arial" w:cs="Arial"/>
          <w:bCs/>
        </w:rPr>
        <w:t>2. Planavimo tiksluose numatyta pertvarkyti (tai yra padalinti) žemės sklypą kad. Nr. 5523/0005:4</w:t>
      </w:r>
      <w:r>
        <w:rPr>
          <w:rFonts w:ascii="Arial" w:hAnsi="Arial" w:cs="Arial"/>
          <w:bCs/>
        </w:rPr>
        <w:t>.</w:t>
      </w:r>
      <w:r w:rsidRPr="00D92F61">
        <w:rPr>
          <w:rFonts w:ascii="Arial" w:hAnsi="Arial" w:cs="Arial"/>
          <w:bCs/>
        </w:rPr>
        <w:t xml:space="preserve"> Vadovaujantis Klaipėdos rajono savivaldybės teritorijos bendrojo plano koregavimu, patvirtintu 2025-01-30 Klaipėdos rajono savivaldybės tarybos sprendimu Nr. T11-34 (</w:t>
      </w:r>
      <w:proofErr w:type="spellStart"/>
      <w:r w:rsidRPr="00D92F61">
        <w:rPr>
          <w:rFonts w:ascii="Arial" w:hAnsi="Arial" w:cs="Arial"/>
          <w:bCs/>
        </w:rPr>
        <w:t>reg</w:t>
      </w:r>
      <w:proofErr w:type="spellEnd"/>
      <w:r w:rsidRPr="00D92F61">
        <w:rPr>
          <w:rFonts w:ascii="Arial" w:hAnsi="Arial" w:cs="Arial"/>
          <w:bCs/>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Pr="00D92F61">
        <w:rPr>
          <w:rFonts w:ascii="Arial" w:hAnsi="Arial" w:cs="Arial"/>
          <w:bCs/>
        </w:rPr>
        <w:t>ais</w:t>
      </w:r>
      <w:proofErr w:type="spellEnd"/>
      <w:r w:rsidRPr="00D92F61">
        <w:rPr>
          <w:rFonts w:ascii="Arial" w:hAnsi="Arial" w:cs="Arial"/>
          <w:bCs/>
        </w:rPr>
        <w:t xml:space="preserve"> ir siekiant vystyti teritoriją (urbanizuoti), turi būti rengiamas teritorijos kompleksinis teritorijų </w:t>
      </w:r>
      <w:r w:rsidRPr="00D92F61">
        <w:rPr>
          <w:rFonts w:ascii="Arial" w:hAnsi="Arial" w:cs="Arial"/>
          <w:bCs/>
        </w:rPr>
        <w:lastRenderedPageBreak/>
        <w:t>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Pr="00D92F61">
        <w:rPr>
          <w:rFonts w:ascii="Arial" w:hAnsi="Arial" w:cs="Arial" w:hint="eastAsia"/>
          <w:bCs/>
        </w:rPr>
        <w:t>ū</w:t>
      </w:r>
      <w:r w:rsidRPr="00D92F61">
        <w:rPr>
          <w:rFonts w:ascii="Arial" w:hAnsi="Arial" w:cs="Arial"/>
          <w:bCs/>
        </w:rPr>
        <w:t xml:space="preserve">ti numatomi tik pertvarkomuose </w:t>
      </w:r>
      <w:r w:rsidRPr="00D92F61">
        <w:rPr>
          <w:rFonts w:ascii="Arial" w:hAnsi="Arial" w:cs="Arial" w:hint="eastAsia"/>
          <w:bCs/>
        </w:rPr>
        <w:t>ž</w:t>
      </w:r>
      <w:r w:rsidRPr="00D92F61">
        <w:rPr>
          <w:rFonts w:ascii="Arial" w:hAnsi="Arial" w:cs="Arial"/>
          <w:bCs/>
        </w:rPr>
        <w:t>em</w:t>
      </w:r>
      <w:r w:rsidRPr="00D92F61">
        <w:rPr>
          <w:rFonts w:ascii="Arial" w:hAnsi="Arial" w:cs="Arial" w:hint="eastAsia"/>
          <w:bCs/>
        </w:rPr>
        <w:t>ė</w:t>
      </w:r>
      <w:r w:rsidRPr="00D92F61">
        <w:rPr>
          <w:rFonts w:ascii="Arial" w:hAnsi="Arial" w:cs="Arial"/>
          <w:bCs/>
        </w:rPr>
        <w:t xml:space="preserve">s </w:t>
      </w:r>
      <w:r w:rsidRPr="00D92F61">
        <w:rPr>
          <w:rFonts w:ascii="Arial" w:hAnsi="Arial" w:cs="Arial" w:hint="eastAsia"/>
          <w:bCs/>
        </w:rPr>
        <w:t>ū</w:t>
      </w:r>
      <w:r w:rsidRPr="00D92F61">
        <w:rPr>
          <w:rFonts w:ascii="Arial" w:hAnsi="Arial" w:cs="Arial"/>
          <w:bCs/>
        </w:rPr>
        <w:t>kio paskirties sklypuose, ne ma</w:t>
      </w:r>
      <w:r w:rsidRPr="00D92F61">
        <w:rPr>
          <w:rFonts w:ascii="Arial" w:hAnsi="Arial" w:cs="Arial" w:hint="eastAsia"/>
          <w:bCs/>
        </w:rPr>
        <w:t>ž</w:t>
      </w:r>
      <w:r w:rsidRPr="00D92F61">
        <w:rPr>
          <w:rFonts w:ascii="Arial" w:hAnsi="Arial" w:cs="Arial"/>
          <w:bCs/>
        </w:rPr>
        <w:t>esniuose, kaip 50 ar</w:t>
      </w:r>
      <w:r w:rsidRPr="00D92F61">
        <w:rPr>
          <w:rFonts w:ascii="Arial" w:hAnsi="Arial" w:cs="Arial" w:hint="eastAsia"/>
          <w:bCs/>
        </w:rPr>
        <w:t>ų</w:t>
      </w:r>
      <w:r w:rsidRPr="00D92F61">
        <w:rPr>
          <w:rFonts w:ascii="Arial" w:hAnsi="Arial" w:cs="Arial"/>
          <w:bCs/>
        </w:rPr>
        <w:t>.</w:t>
      </w:r>
    </w:p>
    <w:p w14:paraId="196F7D9B" w14:textId="77777777" w:rsidR="00D92F61" w:rsidRPr="00D92F61" w:rsidRDefault="00D92F61" w:rsidP="00D92F61">
      <w:pPr>
        <w:spacing w:line="276" w:lineRule="auto"/>
        <w:ind w:firstLine="720"/>
        <w:jc w:val="both"/>
        <w:rPr>
          <w:rFonts w:ascii="Arial" w:hAnsi="Arial" w:cs="Arial"/>
          <w:bCs/>
        </w:rPr>
      </w:pPr>
      <w:r w:rsidRPr="00D92F61">
        <w:rPr>
          <w:rFonts w:ascii="Arial" w:hAnsi="Arial" w:cs="Arial"/>
          <w:bCs/>
        </w:rPr>
        <w:t>Šiuo atveju į žemės sklypus nėra užtikrinta galimybė įvažiuoti keliu (gatve), atitinkančiu teisės aktuose apibrėžtus kelių (gatvių) koridoriaus reikalavimus, besijungiančiu su vietinės ar valstybinės reikšmės keliu (gatve), todėl turi būti rengiamas teritorijos kompleksinis teritorijų planavimo dokumentas, apimantis vietinės ir/ar valstybinės reikšmės kelius (gatves) ir pertvarkomus sklypus, bet ne mažesnė teritorija nei numatyta teisės aktų reikalavimuose.</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3EE7F84D"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D69582E"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EF4B8AB"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39C13D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87F747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460C5A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FF0C38B"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4BD21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0911A3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848BA51"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94BAFC7"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76A2A33"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EB5D75C"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804C0BD"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DDC3870"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A75DB9D"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87EDC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A18EE25"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F5955D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7DB3D71"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2A74809"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3B3F1C4C"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255C92F"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3"/>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09CF" w14:textId="77777777" w:rsidR="00D26ABE" w:rsidRDefault="00D26ABE">
      <w:r>
        <w:separator/>
      </w:r>
    </w:p>
  </w:endnote>
  <w:endnote w:type="continuationSeparator" w:id="0">
    <w:p w14:paraId="75B06AAA" w14:textId="77777777" w:rsidR="00D26ABE" w:rsidRDefault="00D2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5030" w14:textId="77777777" w:rsidR="00D26ABE" w:rsidRDefault="00D26ABE">
      <w:r>
        <w:separator/>
      </w:r>
    </w:p>
  </w:footnote>
  <w:footnote w:type="continuationSeparator" w:id="0">
    <w:p w14:paraId="1436E73D" w14:textId="77777777" w:rsidR="00D26ABE" w:rsidRDefault="00D2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B45E9"/>
    <w:rsid w:val="002D009C"/>
    <w:rsid w:val="002E0F47"/>
    <w:rsid w:val="002F156A"/>
    <w:rsid w:val="003366B9"/>
    <w:rsid w:val="003572E2"/>
    <w:rsid w:val="00373997"/>
    <w:rsid w:val="00387317"/>
    <w:rsid w:val="003B311E"/>
    <w:rsid w:val="003D172A"/>
    <w:rsid w:val="003D708F"/>
    <w:rsid w:val="003F0906"/>
    <w:rsid w:val="00453B13"/>
    <w:rsid w:val="00454239"/>
    <w:rsid w:val="00467619"/>
    <w:rsid w:val="00477786"/>
    <w:rsid w:val="004A296B"/>
    <w:rsid w:val="004C170A"/>
    <w:rsid w:val="004E508B"/>
    <w:rsid w:val="004E5F05"/>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6198B"/>
    <w:rsid w:val="007806D8"/>
    <w:rsid w:val="007A5C1F"/>
    <w:rsid w:val="007D0730"/>
    <w:rsid w:val="007E3DEC"/>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63AF2"/>
    <w:rsid w:val="0097233F"/>
    <w:rsid w:val="009774C0"/>
    <w:rsid w:val="009B286E"/>
    <w:rsid w:val="00A107C7"/>
    <w:rsid w:val="00A11D67"/>
    <w:rsid w:val="00A11F5E"/>
    <w:rsid w:val="00A20B17"/>
    <w:rsid w:val="00A26138"/>
    <w:rsid w:val="00A46A0F"/>
    <w:rsid w:val="00A631B9"/>
    <w:rsid w:val="00A64CF1"/>
    <w:rsid w:val="00A933D6"/>
    <w:rsid w:val="00A96128"/>
    <w:rsid w:val="00AA4E58"/>
    <w:rsid w:val="00AB5039"/>
    <w:rsid w:val="00AC47CD"/>
    <w:rsid w:val="00AF01A1"/>
    <w:rsid w:val="00B0312E"/>
    <w:rsid w:val="00B30C49"/>
    <w:rsid w:val="00B36E8F"/>
    <w:rsid w:val="00B4092F"/>
    <w:rsid w:val="00B42114"/>
    <w:rsid w:val="00B4473D"/>
    <w:rsid w:val="00B635F2"/>
    <w:rsid w:val="00B638A7"/>
    <w:rsid w:val="00BB2809"/>
    <w:rsid w:val="00BD64A6"/>
    <w:rsid w:val="00BE0BA6"/>
    <w:rsid w:val="00BF0AD5"/>
    <w:rsid w:val="00BF5928"/>
    <w:rsid w:val="00C11CFF"/>
    <w:rsid w:val="00C13254"/>
    <w:rsid w:val="00C432D1"/>
    <w:rsid w:val="00C512C9"/>
    <w:rsid w:val="00C74A61"/>
    <w:rsid w:val="00C81975"/>
    <w:rsid w:val="00C81DFB"/>
    <w:rsid w:val="00C93459"/>
    <w:rsid w:val="00C97223"/>
    <w:rsid w:val="00CA3196"/>
    <w:rsid w:val="00CA7ED3"/>
    <w:rsid w:val="00CB5527"/>
    <w:rsid w:val="00CC3372"/>
    <w:rsid w:val="00CD4B31"/>
    <w:rsid w:val="00CF5716"/>
    <w:rsid w:val="00D00E22"/>
    <w:rsid w:val="00D051B2"/>
    <w:rsid w:val="00D14213"/>
    <w:rsid w:val="00D17CAF"/>
    <w:rsid w:val="00D25483"/>
    <w:rsid w:val="00D26ABE"/>
    <w:rsid w:val="00D5172E"/>
    <w:rsid w:val="00D731ED"/>
    <w:rsid w:val="00D92F61"/>
    <w:rsid w:val="00D96905"/>
    <w:rsid w:val="00D9781F"/>
    <w:rsid w:val="00DC4F51"/>
    <w:rsid w:val="00DF05FA"/>
    <w:rsid w:val="00E022F4"/>
    <w:rsid w:val="00E04638"/>
    <w:rsid w:val="00E050D0"/>
    <w:rsid w:val="00E071EB"/>
    <w:rsid w:val="00E2175D"/>
    <w:rsid w:val="00E30A6E"/>
    <w:rsid w:val="00E40DD6"/>
    <w:rsid w:val="00E54672"/>
    <w:rsid w:val="00E83817"/>
    <w:rsid w:val="00E83CF5"/>
    <w:rsid w:val="00EB1557"/>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2764</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2025-07-30T07:11:00Z</dcterms:created>
  <dcterms:modified xsi:type="dcterms:W3CDTF">2025-07-30T07:11:00Z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