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ermStart w:id="543244753" w:edGrp="everyone"/>
    <w:permEnd w:id="543244753"/>
    <w:p w14:paraId="4E55CC33" w14:textId="77777777" w:rsidR="006D6847" w:rsidRDefault="006D6847" w:rsidP="007075CD">
      <w:pPr>
        <w:jc w:val="center"/>
      </w:pPr>
      <w:r>
        <w:fldChar w:fldCharType="begin">
          <w:ffData>
            <w:name w:val=""/>
            <w:enabled/>
            <w:calcOnExit w:val="0"/>
            <w:statusText w:type="text" w:val="Dokumento data: MMMM mm dd"/>
            <w:textInput/>
          </w:ffData>
        </w:fldChar>
      </w:r>
      <w:r>
        <w:instrText xml:space="preserve"> FORMTEXT </w:instrText>
      </w:r>
      <w:r>
        <w:fldChar w:fldCharType="separate"/>
      </w:r>
      <w:r w:rsidR="00C968C5">
        <w:rPr>
          <w:noProof/>
        </w:rPr>
        <w:t> </w:t>
      </w:r>
      <w:r w:rsidR="00C968C5">
        <w:rPr>
          <w:noProof/>
        </w:rPr>
        <w:t> </w:t>
      </w:r>
      <w:r w:rsidR="00C968C5">
        <w:rPr>
          <w:noProof/>
        </w:rPr>
        <w:t> </w:t>
      </w:r>
      <w:r w:rsidR="00C968C5">
        <w:rPr>
          <w:noProof/>
        </w:rPr>
        <w:t> </w:t>
      </w:r>
      <w:r w:rsidR="00C968C5">
        <w:rPr>
          <w:noProof/>
        </w:rPr>
        <w:t> </w:t>
      </w:r>
      <w:r>
        <w:fldChar w:fldCharType="end"/>
      </w:r>
    </w:p>
    <w:p w14:paraId="4C8798DE" w14:textId="77777777" w:rsidR="006D6847" w:rsidRDefault="006D6847">
      <w:pPr>
        <w:jc w:val="center"/>
      </w:pPr>
    </w:p>
    <w:p w14:paraId="09005C69" w14:textId="77777777" w:rsidR="006D6847" w:rsidRDefault="000D0765">
      <w:pPr>
        <w:jc w:val="center"/>
      </w:pPr>
      <w:r>
        <w:rPr>
          <w:noProof/>
        </w:rPr>
        <w:drawing>
          <wp:inline distT="0" distB="0" distL="0" distR="0" wp14:anchorId="55D85485" wp14:editId="672F5BF7">
            <wp:extent cx="594995" cy="626745"/>
            <wp:effectExtent l="0" t="0" r="0" b="190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626745"/>
                    </a:xfrm>
                    <a:prstGeom prst="rect">
                      <a:avLst/>
                    </a:prstGeom>
                    <a:noFill/>
                    <a:ln>
                      <a:noFill/>
                    </a:ln>
                  </pic:spPr>
                </pic:pic>
              </a:graphicData>
            </a:graphic>
          </wp:inline>
        </w:drawing>
      </w:r>
    </w:p>
    <w:p w14:paraId="6DE5E0DD" w14:textId="77777777" w:rsidR="006D6847" w:rsidRDefault="006D6847">
      <w:pPr>
        <w:jc w:val="center"/>
        <w:rPr>
          <w:b/>
        </w:rPr>
      </w:pPr>
      <w:r>
        <w:rPr>
          <w:b/>
        </w:rPr>
        <w:t>LIETUVOS RESPUBLIKOS FINANSŲ MINISTERIJA</w:t>
      </w:r>
    </w:p>
    <w:p w14:paraId="26F06B62" w14:textId="77777777" w:rsidR="006D6847" w:rsidRDefault="006D6847">
      <w:pPr>
        <w:jc w:val="center"/>
      </w:pPr>
    </w:p>
    <w:p w14:paraId="7054540F" w14:textId="77777777" w:rsidR="006D6847" w:rsidRDefault="006D6847">
      <w:pPr>
        <w:jc w:val="center"/>
        <w:sectPr w:rsidR="006D6847">
          <w:headerReference w:type="even" r:id="rId8"/>
          <w:headerReference w:type="default" r:id="rId9"/>
          <w:footerReference w:type="default" r:id="rId10"/>
          <w:footerReference w:type="first" r:id="rId11"/>
          <w:type w:val="continuous"/>
          <w:pgSz w:w="11906" w:h="16838" w:code="9"/>
          <w:pgMar w:top="567" w:right="567" w:bottom="992" w:left="1701" w:header="561" w:footer="686" w:gutter="0"/>
          <w:cols w:space="1296"/>
          <w:titlePg/>
        </w:sectPr>
      </w:pPr>
    </w:p>
    <w:tbl>
      <w:tblPr>
        <w:tblW w:w="9750" w:type="dxa"/>
        <w:tblLayout w:type="fixed"/>
        <w:tblLook w:val="04A0" w:firstRow="1" w:lastRow="0" w:firstColumn="1" w:lastColumn="0" w:noHBand="0" w:noVBand="1"/>
      </w:tblPr>
      <w:tblGrid>
        <w:gridCol w:w="4929"/>
        <w:gridCol w:w="4821"/>
      </w:tblGrid>
      <w:tr w:rsidR="00AC39F8" w14:paraId="21525428" w14:textId="77777777" w:rsidTr="00093617">
        <w:tc>
          <w:tcPr>
            <w:tcW w:w="4927" w:type="dxa"/>
          </w:tcPr>
          <w:p w14:paraId="13AE621E" w14:textId="77777777" w:rsidR="00AC39F8" w:rsidRDefault="00AC39F8" w:rsidP="00093617">
            <w:pPr>
              <w:ind w:left="-108"/>
            </w:pPr>
            <w:permStart w:id="2068796160" w:edGrp="everyone"/>
            <w:r>
              <w:t>Valstybės įmonei Žemės ūkio duomenų centrui</w:t>
            </w:r>
          </w:p>
          <w:p w14:paraId="23F6DE0F" w14:textId="77777777" w:rsidR="00AC39F8" w:rsidRDefault="00AC39F8" w:rsidP="00093617">
            <w:pPr>
              <w:ind w:left="-108"/>
            </w:pPr>
          </w:p>
        </w:tc>
        <w:tc>
          <w:tcPr>
            <w:tcW w:w="4820" w:type="dxa"/>
          </w:tcPr>
          <w:p w14:paraId="50B1B206" w14:textId="77777777" w:rsidR="00AC39F8" w:rsidRDefault="00AC39F8" w:rsidP="00093617">
            <w:r>
              <w:t xml:space="preserve">2025-05- Nr. </w:t>
            </w:r>
          </w:p>
          <w:p w14:paraId="4C078272" w14:textId="77777777" w:rsidR="00AC39F8" w:rsidRDefault="00AC39F8" w:rsidP="00093617">
            <w:r>
              <w:t xml:space="preserve">Į 2025-03-14 Nr. </w:t>
            </w:r>
            <w:r>
              <w:rPr>
                <w:szCs w:val="24"/>
                <w:lang w:eastAsia="en-US"/>
              </w:rPr>
              <w:t>1S-8412</w:t>
            </w:r>
          </w:p>
          <w:p w14:paraId="57242954" w14:textId="77777777" w:rsidR="00AC39F8" w:rsidRDefault="00AC39F8" w:rsidP="00093617"/>
        </w:tc>
      </w:tr>
      <w:tr w:rsidR="00AC39F8" w14:paraId="59FC2212" w14:textId="77777777" w:rsidTr="00093617">
        <w:trPr>
          <w:cantSplit/>
          <w:trHeight w:val="629"/>
        </w:trPr>
        <w:tc>
          <w:tcPr>
            <w:tcW w:w="9747" w:type="dxa"/>
            <w:gridSpan w:val="2"/>
            <w:hideMark/>
          </w:tcPr>
          <w:p w14:paraId="6E7357CC" w14:textId="77777777" w:rsidR="00AC39F8" w:rsidRDefault="00AC39F8" w:rsidP="00093617">
            <w:pPr>
              <w:rPr>
                <w:b/>
              </w:rPr>
            </w:pPr>
            <w:r>
              <w:rPr>
                <w:b/>
              </w:rPr>
              <w:t>DĖL INFORMACIJOS PATEIKIMO</w:t>
            </w:r>
          </w:p>
        </w:tc>
      </w:tr>
    </w:tbl>
    <w:p w14:paraId="38B3FB35" w14:textId="77777777" w:rsidR="00AC39F8" w:rsidRDefault="00AC39F8" w:rsidP="00AC39F8">
      <w:pPr>
        <w:tabs>
          <w:tab w:val="left" w:pos="993"/>
          <w:tab w:val="left" w:pos="1276"/>
        </w:tabs>
        <w:ind w:firstLine="851"/>
        <w:jc w:val="both"/>
        <w:rPr>
          <w:szCs w:val="24"/>
          <w:lang w:eastAsia="en-US"/>
        </w:rPr>
      </w:pPr>
      <w:r>
        <w:rPr>
          <w:szCs w:val="24"/>
          <w:lang w:eastAsia="en-US"/>
        </w:rPr>
        <w:t>Lietuvos Respublikos finansų ministerija išnagrinėjo valstybės įmonės Žemės ūkio duomenų centro (toliau – Centras) 2025 m. kovos 14 d. raštu Nr. 1S-8412 pateiktą paklausimą</w:t>
      </w:r>
      <w:r>
        <w:rPr>
          <w:lang w:eastAsia="en-US"/>
        </w:rPr>
        <w:t xml:space="preserve"> dėl žemės konsolidacijos projektų vykdymo metu sukurto patikėjimo teise valdomo, valstybei nuosavybės teise priklausančio nekilnojamojo turto, neįtraukto į Centro apskaitą, </w:t>
      </w:r>
      <w:r>
        <w:rPr>
          <w:szCs w:val="24"/>
          <w:lang w:eastAsia="en-US"/>
        </w:rPr>
        <w:t xml:space="preserve">(toliau – Turtas) </w:t>
      </w:r>
      <w:r>
        <w:rPr>
          <w:lang w:eastAsia="en-US"/>
        </w:rPr>
        <w:t>perdavimo savivaldybėms galimybių.</w:t>
      </w:r>
      <w:r>
        <w:rPr>
          <w:szCs w:val="24"/>
          <w:lang w:eastAsia="en-US"/>
        </w:rPr>
        <w:t xml:space="preserve"> </w:t>
      </w:r>
    </w:p>
    <w:p w14:paraId="6BB904F5" w14:textId="77777777" w:rsidR="00AC39F8" w:rsidRDefault="00AC39F8" w:rsidP="00AC39F8">
      <w:pPr>
        <w:tabs>
          <w:tab w:val="left" w:pos="993"/>
          <w:tab w:val="left" w:pos="1276"/>
        </w:tabs>
        <w:ind w:firstLine="851"/>
        <w:jc w:val="both"/>
        <w:rPr>
          <w:szCs w:val="24"/>
          <w:lang w:eastAsia="en-US"/>
        </w:rPr>
      </w:pPr>
      <w:r>
        <w:rPr>
          <w:szCs w:val="24"/>
          <w:lang w:eastAsia="en-US"/>
        </w:rPr>
        <w:t>Atkreipiame dėmesį, kad Finansų ministerijai nėra suteikti įgaliojimai oficialiai aiškinti įstatymų ir kitų teisės aktų taikymo, todėl pateikiama nuomonė negali būti laikoma oficialiu teisės aiškinimu, taip pat nėra privaloma teismams, valstybės ir savivaldybių institucijoms ir įstaigoms bei kitiems asmenims.</w:t>
      </w:r>
    </w:p>
    <w:p w14:paraId="340009A4" w14:textId="77777777" w:rsidR="00AC39F8" w:rsidRDefault="00AC39F8" w:rsidP="00AC39F8">
      <w:pPr>
        <w:ind w:firstLine="851"/>
        <w:jc w:val="both"/>
        <w:rPr>
          <w:szCs w:val="24"/>
          <w:lang w:eastAsia="en-US"/>
        </w:rPr>
      </w:pPr>
      <w:r>
        <w:rPr>
          <w:szCs w:val="24"/>
          <w:lang w:eastAsia="en-US"/>
        </w:rPr>
        <w:t>Atsižvelgiant į Lietuvos Respublikos žemės ūkio ministro 2022 m. lapkričio 22 d. įsakymą Nr. 3D-708 „Dėl valstybės įmonės Žemės ūkio informacijos ir kaimo verslo centro, valstybės įmonės Distancinių tyrimų ir geoinformatikos centro „GIS-Centras“ ir valstybės įmonės Valstybės žemės fondo reorganizavimo“ (toliau – Įsakymas) buvo įvykdyta reorganizacija ir Įsakyme nurodytos įmonės sujungtos į naują juridinį asmenį – Centrą, kuriam perėjo visų Įsakyme nurodytų reorganizuotų valstybės įmonių teisės ir pareigos.</w:t>
      </w:r>
    </w:p>
    <w:p w14:paraId="007E9BF1" w14:textId="77777777" w:rsidR="00AC39F8" w:rsidRDefault="00AC39F8" w:rsidP="00AC39F8">
      <w:pPr>
        <w:ind w:firstLine="851"/>
        <w:jc w:val="both"/>
        <w:rPr>
          <w:szCs w:val="24"/>
          <w:lang w:eastAsia="en-US"/>
        </w:rPr>
      </w:pPr>
      <w:r>
        <w:rPr>
          <w:szCs w:val="24"/>
          <w:lang w:eastAsia="en-US"/>
        </w:rPr>
        <w:t xml:space="preserve">Įvykus reorganizacijai, Centras pagal priėmimo–perdavimo aktus Turtą priėmė iš valstybės įmonės Valstybės žemės fondo (toliau – VŽF). </w:t>
      </w:r>
    </w:p>
    <w:p w14:paraId="14312B58" w14:textId="77777777" w:rsidR="00AC39F8" w:rsidRDefault="00AC39F8" w:rsidP="00AC39F8">
      <w:pPr>
        <w:ind w:firstLine="851"/>
        <w:jc w:val="both"/>
        <w:rPr>
          <w:szCs w:val="24"/>
          <w:lang w:eastAsia="en-US"/>
        </w:rPr>
      </w:pPr>
      <w:r>
        <w:rPr>
          <w:szCs w:val="24"/>
          <w:lang w:eastAsia="en-US"/>
        </w:rPr>
        <w:t>Pažymėtina, kad, vadovaujantis Lietuvos Respublikos finansinės apskaitos įstatymo 2 straipsnio 17 dalimi, turtas – vertybės, kurias valdo ir naudoja ir (arba) kuriomis disponuoja subjektas ir kurias naudojant tikimasi gauti ekonominės naudos. Turtą į apskaitą turi traukti tas subjektas, kuris jį valdo, naudoja ir (arba) juo disponuoja ir jį naudodamas tikisi gauti ekonominės naudos. Kiekvienas turto vienetas apskaitoje rodomas kaip atskiras vienetas, išskyrus tarptautiniuose finansinės apskaitos standartuose nurodytus atvejus (pavyzdžiui, kai žemė ir pastatai nuomojami ir žemės elemento suma nuomos požiūriu nėra reikšminga). Vadovaujantis 16-uoju tarptautiniu apskaitos standartu „Nekilnojamasis turtas, įranga ir įrenginiai“:</w:t>
      </w:r>
    </w:p>
    <w:p w14:paraId="3D588AB0" w14:textId="77777777" w:rsidR="00AC39F8" w:rsidRDefault="00AC39F8" w:rsidP="00AC39F8">
      <w:pPr>
        <w:tabs>
          <w:tab w:val="left" w:pos="993"/>
          <w:tab w:val="left" w:pos="1276"/>
        </w:tabs>
        <w:ind w:firstLine="851"/>
        <w:jc w:val="both"/>
        <w:rPr>
          <w:szCs w:val="24"/>
          <w:lang w:eastAsia="en-US"/>
        </w:rPr>
      </w:pPr>
      <w:r>
        <w:rPr>
          <w:szCs w:val="24"/>
          <w:lang w:eastAsia="en-US"/>
        </w:rPr>
        <w:t>- materialusis turtas finansinėje apskaitoje turi būti pripažintas (užregistruotas) tuo momentu, kai jis pradeda atitikti jo apibrėžtį</w:t>
      </w:r>
      <w:r>
        <w:rPr>
          <w:szCs w:val="24"/>
          <w:vertAlign w:val="superscript"/>
          <w:lang w:eastAsia="en-US"/>
        </w:rPr>
        <w:footnoteReference w:id="1"/>
      </w:r>
      <w:r>
        <w:rPr>
          <w:szCs w:val="24"/>
          <w:lang w:eastAsia="en-US"/>
        </w:rPr>
        <w:t xml:space="preserve"> ir jo pripažinimo finansinėje apskaitoje kriterijus</w:t>
      </w:r>
      <w:r>
        <w:rPr>
          <w:szCs w:val="24"/>
          <w:vertAlign w:val="superscript"/>
          <w:lang w:eastAsia="en-US"/>
        </w:rPr>
        <w:footnoteReference w:id="2"/>
      </w:r>
      <w:r>
        <w:rPr>
          <w:szCs w:val="24"/>
          <w:lang w:eastAsia="en-US"/>
        </w:rPr>
        <w:t>;</w:t>
      </w:r>
    </w:p>
    <w:p w14:paraId="08CD5E5E" w14:textId="77777777" w:rsidR="00AC39F8" w:rsidRDefault="00AC39F8" w:rsidP="00AC39F8">
      <w:pPr>
        <w:tabs>
          <w:tab w:val="left" w:pos="993"/>
          <w:tab w:val="left" w:pos="1276"/>
        </w:tabs>
        <w:ind w:firstLine="851"/>
        <w:jc w:val="both"/>
        <w:rPr>
          <w:szCs w:val="24"/>
          <w:lang w:eastAsia="en-US"/>
        </w:rPr>
      </w:pPr>
      <w:r>
        <w:rPr>
          <w:szCs w:val="24"/>
          <w:lang w:eastAsia="en-US"/>
        </w:rPr>
        <w:t>-</w:t>
      </w:r>
      <w:r>
        <w:rPr>
          <w:lang w:eastAsia="en-US"/>
        </w:rPr>
        <w:t xml:space="preserve"> </w:t>
      </w:r>
      <w:r>
        <w:rPr>
          <w:szCs w:val="24"/>
          <w:lang w:eastAsia="en-US"/>
        </w:rPr>
        <w:t>nekilnojamojo turto, įrangos ir įrenginių objektas, atitinkantis turto pripažinimo kriterijus, turi būti vertinamas savikaina</w:t>
      </w:r>
      <w:r>
        <w:rPr>
          <w:szCs w:val="24"/>
          <w:vertAlign w:val="superscript"/>
          <w:lang w:eastAsia="en-US"/>
        </w:rPr>
        <w:footnoteReference w:id="3"/>
      </w:r>
      <w:r>
        <w:rPr>
          <w:szCs w:val="24"/>
          <w:lang w:eastAsia="en-US"/>
        </w:rPr>
        <w:t xml:space="preserve">; </w:t>
      </w:r>
    </w:p>
    <w:p w14:paraId="49A9DE77" w14:textId="77777777" w:rsidR="00AC39F8" w:rsidRDefault="00AC39F8" w:rsidP="00AC39F8">
      <w:pPr>
        <w:tabs>
          <w:tab w:val="left" w:pos="993"/>
          <w:tab w:val="left" w:pos="1276"/>
        </w:tabs>
        <w:ind w:firstLine="851"/>
        <w:jc w:val="both"/>
        <w:rPr>
          <w:szCs w:val="24"/>
          <w:lang w:eastAsia="en-US"/>
        </w:rPr>
      </w:pPr>
      <w:r>
        <w:rPr>
          <w:szCs w:val="24"/>
          <w:lang w:eastAsia="en-US"/>
        </w:rPr>
        <w:t xml:space="preserve">- nekilnojamojo turto, įrangos ir įrenginių objekto perleidimo data yra data, kurią gavėjas įgyja to objekto kontrolę. Pagal tarptautinių finansinės atskaitomybės standartų gaires (angl. </w:t>
      </w:r>
      <w:r>
        <w:rPr>
          <w:i/>
          <w:iCs/>
          <w:szCs w:val="24"/>
          <w:lang w:eastAsia="en-US"/>
        </w:rPr>
        <w:t>Conceptual Framework</w:t>
      </w:r>
      <w:r>
        <w:rPr>
          <w:szCs w:val="24"/>
          <w:lang w:eastAsia="en-US"/>
        </w:rPr>
        <w:t xml:space="preserve">), kuriose paaiškinti pripažinimo principai, subjektas kontroliuoja ilgalaikį </w:t>
      </w:r>
      <w:r>
        <w:rPr>
          <w:szCs w:val="24"/>
          <w:lang w:eastAsia="en-US"/>
        </w:rPr>
        <w:lastRenderedPageBreak/>
        <w:t>materialųjį turtą, jei jis turi teisę būsimaisiais laikotarpiais iš ilgalaikio materialiojo turto gauti tiesioginės arba netiesioginės ekonominės naudos, turi teisę spręsti, kaip jį naudoti savo veikloje, arba leisti kitam subjektui naudoti jo veikloje.</w:t>
      </w:r>
    </w:p>
    <w:p w14:paraId="14C85C6A" w14:textId="77777777" w:rsidR="00AC39F8" w:rsidRDefault="00AC39F8" w:rsidP="00AC39F8">
      <w:pPr>
        <w:ind w:firstLine="851"/>
        <w:jc w:val="both"/>
        <w:rPr>
          <w:szCs w:val="24"/>
          <w:lang w:eastAsia="en-US"/>
        </w:rPr>
      </w:pPr>
      <w:r>
        <w:rPr>
          <w:szCs w:val="24"/>
          <w:lang w:eastAsia="en-US"/>
        </w:rPr>
        <w:t xml:space="preserve">Tačiau Turtas, kurį Centras įvykus reorganizacijai pagal priėmimo–perdavimo aktą priėmė iš VŽF, buvo sukurtas Joniškio, Panevėžio, Telšių, Mažeikių ir Klaipėdos rajonų savivaldybėse (toliau kartu – Savivaldybės) įgyvendinant žemės konsolidacijos projektus, vadovaujantis Žemės konsolidacijos projektų rengimo ir įgyvendinimo taisyklėmis, patvirtintomis Lietuvos Respublikos Vyriausybės 2005 m. birželio 27 d. nutarimu Nr. 697 „Dėl Žemės konsolidacijos projektų rengimo ir įgyvendinimo taisyklių patvirtinimo“, (toliau – Taisyklės). Remiantis Taisyklėmis </w:t>
      </w:r>
      <w:r>
        <w:t xml:space="preserve">konsoliduotų valstybinės </w:t>
      </w:r>
      <w:r>
        <w:rPr>
          <w:i/>
          <w:iCs/>
        </w:rPr>
        <w:t>žemės sklypų</w:t>
      </w:r>
      <w:r>
        <w:t xml:space="preserve"> patikėjimo teisė iš VŽF įgyvendinus projektus turėjo būti perduota Nacionalinei žemės tarnybai (toliau – NŽT) Lietuvos Respublikos žemės įstatymo 52 straipsnio 14 dalyje nustatyta tvarka. Įgyvendinant projektą sukurto ar pagerinto Turto – </w:t>
      </w:r>
      <w:r>
        <w:rPr>
          <w:i/>
          <w:iCs/>
        </w:rPr>
        <w:t>žemės su statiniais</w:t>
      </w:r>
      <w:r>
        <w:t xml:space="preserve"> – valdytojų patikėjimo teise </w:t>
      </w:r>
      <w:r>
        <w:rPr>
          <w:szCs w:val="24"/>
          <w:lang w:eastAsia="en-US"/>
        </w:rPr>
        <w:t>valstybės įmonės Registrų centro Nekilnojamojo turto registre buvo registruotas VŽF, o vėliau, 2023 metais įvykus reorganizacijai, – Centras, tačiau konsolidacijos projektų įgyvendinimo metu sukurtas ar pagerintas Turtas nebuvo užregistruotas nei VŽF, nei Centro finansinėje apskaitoje, nes galutinės naudos gavėjos – Savivaldybės, savo tarybų sprendimais patvirtinusios dalyvavimą konsolidacijos projektuose ir gaunančios tiesioginę ar netiesioginę ekonominę naudą iš Turto.</w:t>
      </w:r>
    </w:p>
    <w:p w14:paraId="658E1889" w14:textId="77777777" w:rsidR="00AC39F8" w:rsidRDefault="00AC39F8" w:rsidP="00AC39F8">
      <w:pPr>
        <w:tabs>
          <w:tab w:val="left" w:pos="993"/>
          <w:tab w:val="left" w:pos="1276"/>
        </w:tabs>
        <w:ind w:firstLine="851"/>
        <w:jc w:val="both"/>
      </w:pPr>
      <w:r>
        <w:rPr>
          <w:szCs w:val="24"/>
          <w:lang w:eastAsia="en-US"/>
        </w:rPr>
        <w:t xml:space="preserve">Remiantis Centro pateiktais Nekilnojamojo turto registro išrašais, VŽF patikėjimo teise konsolidacijos projektų įgyvendinimo metu valdyti perduota valstybinė žemė, pasibaigus konsolidacijos projektams, buvo </w:t>
      </w:r>
      <w:r w:rsidRPr="002A745A">
        <w:t>perduota N</w:t>
      </w:r>
      <w:r>
        <w:t>ŽT</w:t>
      </w:r>
      <w:r w:rsidRPr="002A745A">
        <w:t>, o</w:t>
      </w:r>
      <w:r>
        <w:t xml:space="preserve"> sukurto ar pagerinto Turto patikėtiniu liko Centras, nors iš Turto jis negauna naudos ir faktiškai Turto priežiūra rūpinasi ir juo naudojasi Savivaldybės.</w:t>
      </w:r>
    </w:p>
    <w:p w14:paraId="137C32BF" w14:textId="1160D83E" w:rsidR="00AC39F8" w:rsidRPr="00477591" w:rsidRDefault="00AC39F8" w:rsidP="00AC39F8">
      <w:pPr>
        <w:tabs>
          <w:tab w:val="left" w:pos="993"/>
          <w:tab w:val="left" w:pos="1276"/>
        </w:tabs>
        <w:ind w:firstLine="851"/>
        <w:jc w:val="both"/>
        <w:rPr>
          <w:szCs w:val="24"/>
          <w:lang w:eastAsia="en-US"/>
        </w:rPr>
      </w:pPr>
      <w:r>
        <w:rPr>
          <w:szCs w:val="24"/>
          <w:lang w:eastAsia="en-US"/>
        </w:rPr>
        <w:t xml:space="preserve">Manytina, kad </w:t>
      </w:r>
      <w:r w:rsidRPr="003A3521">
        <w:rPr>
          <w:color w:val="EE0000"/>
          <w:szCs w:val="24"/>
          <w:lang w:eastAsia="en-US"/>
        </w:rPr>
        <w:t>Turtas turi būti grąžintas Savivaldybėms ir registruotas jų apskaitoje remiantis konsolidacijos projektų sutartimis, sudarytomis Savivaldybių taryboms priėmus sprendimus dėl dalyvavimo konsolidacijos projektuose ir laikino Turto perleidimo (iki konsolidacijos projektų įgyvendinimo kontrolės laikotarpio pabaigos) VŽF. Savivaldybių taryboms priėmus sprendimus susigrąžinti Turtą iš Centro (VŽT teisių ir pareigų perėmėjo) ir Turtą perduodančiai šaliai (Centrui) ir Turtą priimančioms šalims (Savivaldybėms) pasirašius perdavimo</w:t>
      </w:r>
      <w:r w:rsidR="00D20E31" w:rsidRPr="003A3521">
        <w:rPr>
          <w:color w:val="EE0000"/>
          <w:szCs w:val="24"/>
          <w:lang w:eastAsia="en-US"/>
        </w:rPr>
        <w:t xml:space="preserve"> </w:t>
      </w:r>
      <w:r w:rsidRPr="003A3521">
        <w:rPr>
          <w:color w:val="EE0000"/>
          <w:szCs w:val="24"/>
          <w:lang w:eastAsia="en-US"/>
        </w:rPr>
        <w:t>–</w:t>
      </w:r>
      <w:r w:rsidR="00D20E31" w:rsidRPr="003A3521">
        <w:rPr>
          <w:color w:val="EE0000"/>
          <w:szCs w:val="24"/>
          <w:lang w:eastAsia="en-US"/>
        </w:rPr>
        <w:t xml:space="preserve"> </w:t>
      </w:r>
      <w:r w:rsidRPr="003A3521">
        <w:rPr>
          <w:color w:val="EE0000"/>
          <w:szCs w:val="24"/>
          <w:lang w:eastAsia="en-US"/>
        </w:rPr>
        <w:t>priėmimo aktus, susigrąžintas Turtas turi būti įtrauktas į Savivaldybių apskaitą</w:t>
      </w:r>
      <w:r>
        <w:rPr>
          <w:szCs w:val="24"/>
          <w:lang w:eastAsia="en-US"/>
        </w:rPr>
        <w:t>. Jeigu Turtas buvo priimtas iš Savivaldybių nenustačius verčių, tai nenustačius verčių gali būti ir grąžintas. Jeigu vis dėlto reikia nurodyti Turto vertes, informaciją apie jas turi pateikti Savivaldybės, kurių apskaitoje Turtas buvo iki perdavimo. Tikroji grąžinamo Turto vertė yra jo vertė perdavimo dieną. Registruotinų statinių Turto savininko pasikeitimas turi būti fiksuotas Registro cento nekilnojamojo turto registre.</w:t>
      </w:r>
    </w:p>
    <w:p w14:paraId="17502B4B" w14:textId="1EB37DC4" w:rsidR="00AC39F8" w:rsidRDefault="00AC39F8" w:rsidP="00AC39F8">
      <w:pPr>
        <w:tabs>
          <w:tab w:val="left" w:pos="993"/>
          <w:tab w:val="left" w:pos="1276"/>
        </w:tabs>
        <w:ind w:firstLine="851"/>
        <w:jc w:val="both"/>
        <w:rPr>
          <w:szCs w:val="24"/>
          <w:lang w:eastAsia="en-US"/>
        </w:rPr>
      </w:pPr>
    </w:p>
    <w:p w14:paraId="7999A8D2" w14:textId="77777777" w:rsidR="00AC39F8" w:rsidRDefault="00AC39F8" w:rsidP="00AC39F8">
      <w:pPr>
        <w:ind w:firstLine="851"/>
        <w:jc w:val="both"/>
        <w:rPr>
          <w:szCs w:val="24"/>
          <w:lang w:eastAsia="en-US"/>
        </w:rPr>
      </w:pPr>
    </w:p>
    <w:p w14:paraId="16EE728F" w14:textId="77777777" w:rsidR="00AC39F8" w:rsidRDefault="00AC39F8" w:rsidP="00AC39F8">
      <w:pPr>
        <w:ind w:firstLine="851"/>
      </w:pPr>
    </w:p>
    <w:p w14:paraId="54AD8B93" w14:textId="77777777" w:rsidR="00AC39F8" w:rsidRDefault="00AC39F8" w:rsidP="00AC39F8">
      <w:pPr>
        <w:ind w:firstLine="851"/>
      </w:pPr>
    </w:p>
    <w:p w14:paraId="20D06603" w14:textId="79C4428C" w:rsidR="00AC39F8" w:rsidRDefault="00AC39F8" w:rsidP="00AC39F8">
      <w:r>
        <w:t>Ministerijos kancleris</w:t>
      </w:r>
      <w:r>
        <w:tab/>
      </w:r>
      <w:r>
        <w:tab/>
      </w:r>
      <w:r>
        <w:tab/>
      </w:r>
      <w:r>
        <w:tab/>
      </w:r>
      <w:r>
        <w:tab/>
      </w:r>
      <w:r>
        <w:tab/>
      </w:r>
      <w:r>
        <w:tab/>
      </w:r>
      <w:r>
        <w:tab/>
      </w:r>
      <w:r>
        <w:tab/>
        <w:t>Mindaugas Šima</w:t>
      </w:r>
    </w:p>
    <w:p w14:paraId="75E6523C" w14:textId="77777777" w:rsidR="00AC39F8" w:rsidRDefault="00AC39F8" w:rsidP="00AC39F8">
      <w:pPr>
        <w:ind w:firstLine="709"/>
      </w:pPr>
    </w:p>
    <w:p w14:paraId="1FEDBD23" w14:textId="77777777" w:rsidR="00AC39F8" w:rsidRDefault="00AC39F8" w:rsidP="00AC39F8">
      <w:pPr>
        <w:ind w:firstLine="709"/>
      </w:pPr>
    </w:p>
    <w:p w14:paraId="7E7DAC92" w14:textId="77777777" w:rsidR="00AC39F8" w:rsidRDefault="00AC39F8" w:rsidP="00AC39F8">
      <w:pPr>
        <w:ind w:firstLine="709"/>
      </w:pPr>
    </w:p>
    <w:p w14:paraId="36525A78" w14:textId="77777777" w:rsidR="00AC39F8" w:rsidRDefault="00AC39F8" w:rsidP="00AC39F8">
      <w:pPr>
        <w:ind w:firstLine="709"/>
      </w:pPr>
    </w:p>
    <w:p w14:paraId="10658A22" w14:textId="77777777" w:rsidR="00AC39F8" w:rsidRDefault="00AC39F8" w:rsidP="00AC39F8">
      <w:pPr>
        <w:ind w:firstLine="709"/>
      </w:pPr>
    </w:p>
    <w:p w14:paraId="2270FA58" w14:textId="77777777" w:rsidR="00AC39F8" w:rsidRDefault="00AC39F8" w:rsidP="00AC39F8">
      <w:pPr>
        <w:ind w:firstLine="709"/>
      </w:pPr>
    </w:p>
    <w:p w14:paraId="6340BA17" w14:textId="77777777" w:rsidR="00AC39F8" w:rsidRDefault="00AC39F8" w:rsidP="00AC39F8">
      <w:pPr>
        <w:ind w:firstLine="709"/>
      </w:pPr>
    </w:p>
    <w:p w14:paraId="452FE011" w14:textId="77777777" w:rsidR="00AC39F8" w:rsidRDefault="00AC39F8" w:rsidP="00AC39F8">
      <w:pPr>
        <w:ind w:firstLine="709"/>
      </w:pPr>
    </w:p>
    <w:p w14:paraId="58B3D29A" w14:textId="77777777" w:rsidR="00AC39F8" w:rsidRDefault="00AC39F8" w:rsidP="00AC39F8">
      <w:pPr>
        <w:ind w:firstLine="709"/>
      </w:pPr>
    </w:p>
    <w:p w14:paraId="05A34367" w14:textId="77777777" w:rsidR="00AC39F8" w:rsidRDefault="00AC39F8" w:rsidP="00AC39F8">
      <w:pPr>
        <w:ind w:firstLine="709"/>
      </w:pPr>
    </w:p>
    <w:p w14:paraId="635D77A5" w14:textId="77777777" w:rsidR="00AC39F8" w:rsidRDefault="00AC39F8" w:rsidP="00AC39F8">
      <w:pPr>
        <w:ind w:firstLine="709"/>
      </w:pPr>
    </w:p>
    <w:p w14:paraId="13C3DBBF" w14:textId="77777777" w:rsidR="00AC39F8" w:rsidRDefault="00AC39F8" w:rsidP="00AC39F8">
      <w:pPr>
        <w:ind w:firstLine="709"/>
      </w:pPr>
    </w:p>
    <w:p w14:paraId="5BD1E9F4" w14:textId="77777777" w:rsidR="00AC39F8" w:rsidRPr="006C2375" w:rsidRDefault="00AC39F8" w:rsidP="00AC39F8">
      <w:pPr>
        <w:rPr>
          <w:sz w:val="20"/>
        </w:rPr>
      </w:pPr>
      <w:r>
        <w:rPr>
          <w:sz w:val="20"/>
        </w:rPr>
        <w:t xml:space="preserve">Loreta Katinienė, tel. +370 621 01 039, el. p. </w:t>
      </w:r>
      <w:hyperlink r:id="rId12" w:history="1">
        <w:r w:rsidRPr="00093617">
          <w:rPr>
            <w:rStyle w:val="Hyperlink"/>
            <w:rFonts w:eastAsiaTheme="majorEastAsia"/>
            <w:sz w:val="20"/>
          </w:rPr>
          <w:t>loreta.katiniene@finmin.lt</w:t>
        </w:r>
      </w:hyperlink>
    </w:p>
    <w:p w14:paraId="1F091EFE" w14:textId="77777777" w:rsidR="00AC39F8" w:rsidRPr="006C2375" w:rsidRDefault="00AC39F8" w:rsidP="00AC39F8">
      <w:pPr>
        <w:rPr>
          <w:szCs w:val="24"/>
        </w:rPr>
      </w:pPr>
      <w:r w:rsidRPr="006C2375">
        <w:rPr>
          <w:sz w:val="20"/>
        </w:rPr>
        <w:t xml:space="preserve">Sonata Lebednykienė, tel. +370 678 01 697, el. p. </w:t>
      </w:r>
      <w:hyperlink r:id="rId13" w:history="1">
        <w:r w:rsidRPr="00093617">
          <w:rPr>
            <w:rStyle w:val="Hyperlink"/>
            <w:rFonts w:eastAsiaTheme="majorEastAsia"/>
            <w:sz w:val="20"/>
          </w:rPr>
          <w:t>sonata.lebednykiene@finmin.lt</w:t>
        </w:r>
      </w:hyperlink>
      <w:r w:rsidRPr="006C2375">
        <w:rPr>
          <w:szCs w:val="24"/>
        </w:rPr>
        <w:t xml:space="preserve"> </w:t>
      </w:r>
    </w:p>
    <w:p w14:paraId="602491D8" w14:textId="5B063CA3" w:rsidR="00A35F80" w:rsidRPr="00E17BB9" w:rsidRDefault="00AC39F8" w:rsidP="004852DB">
      <w:pPr>
        <w:rPr>
          <w:sz w:val="20"/>
        </w:rPr>
      </w:pPr>
      <w:r w:rsidRPr="00E17BB9">
        <w:rPr>
          <w:sz w:val="20"/>
        </w:rPr>
        <w:t xml:space="preserve"> </w:t>
      </w:r>
      <w:permEnd w:id="2068796160"/>
    </w:p>
    <w:sectPr w:rsidR="00A35F80" w:rsidRPr="00E17BB9">
      <w:footerReference w:type="default" r:id="rId14"/>
      <w:type w:val="continuous"/>
      <w:pgSz w:w="11906" w:h="16838" w:code="9"/>
      <w:pgMar w:top="1134" w:right="567" w:bottom="992" w:left="1701" w:header="561"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A6ABF" w14:textId="77777777" w:rsidR="00FE4E58" w:rsidRDefault="00FE4E58">
      <w:r>
        <w:separator/>
      </w:r>
    </w:p>
  </w:endnote>
  <w:endnote w:type="continuationSeparator" w:id="0">
    <w:p w14:paraId="0304B4AE" w14:textId="77777777" w:rsidR="00FE4E58" w:rsidRDefault="00FE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7E78" w14:textId="77777777" w:rsidR="006D6847" w:rsidRDefault="006D6847">
    <w:pPr>
      <w:ind w:right="2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1097" w14:textId="77777777" w:rsidR="00895A02" w:rsidRPr="00F2790E" w:rsidRDefault="00895A02" w:rsidP="00895A02">
    <w:pPr>
      <w:rPr>
        <w:sz w:val="16"/>
        <w:szCs w:val="16"/>
      </w:rPr>
    </w:pPr>
    <w:r w:rsidRPr="00F2790E">
      <w:rPr>
        <w:sz w:val="16"/>
        <w:szCs w:val="16"/>
      </w:rPr>
      <w:t>Informacija apie asmens duomenų tvarkymą skelbiama adresu https://finmin.lrv.lt/lt/asmens-duomenu-apsauga</w:t>
    </w:r>
  </w:p>
  <w:tbl>
    <w:tblPr>
      <w:tblW w:w="9396" w:type="dxa"/>
      <w:tblBorders>
        <w:top w:val="single" w:sz="4" w:space="0" w:color="auto"/>
      </w:tblBorders>
      <w:tblLayout w:type="fixed"/>
      <w:tblCellMar>
        <w:left w:w="56" w:type="dxa"/>
        <w:right w:w="56" w:type="dxa"/>
      </w:tblCellMar>
      <w:tblLook w:val="0000" w:firstRow="0" w:lastRow="0" w:firstColumn="0" w:lastColumn="0" w:noHBand="0" w:noVBand="0"/>
    </w:tblPr>
    <w:tblGrid>
      <w:gridCol w:w="3584"/>
      <w:gridCol w:w="2977"/>
      <w:gridCol w:w="2835"/>
    </w:tblGrid>
    <w:tr w:rsidR="004852DB" w:rsidRPr="00F2790E" w14:paraId="7BD2E4A5" w14:textId="77777777" w:rsidTr="00767148">
      <w:tc>
        <w:tcPr>
          <w:tcW w:w="3584" w:type="dxa"/>
        </w:tcPr>
        <w:p w14:paraId="6FE45BA0" w14:textId="77777777" w:rsidR="004852DB" w:rsidRDefault="004852DB" w:rsidP="004852DB">
          <w:pPr>
            <w:pStyle w:val="Footer"/>
            <w:rPr>
              <w:sz w:val="16"/>
              <w:szCs w:val="16"/>
            </w:rPr>
          </w:pPr>
          <w:r w:rsidRPr="00F2790E">
            <w:rPr>
              <w:sz w:val="16"/>
              <w:szCs w:val="16"/>
            </w:rPr>
            <w:t>Biudžetinė įstaiga</w:t>
          </w:r>
        </w:p>
        <w:p w14:paraId="269C031C" w14:textId="77777777" w:rsidR="004852DB" w:rsidRPr="00F2790E" w:rsidRDefault="004852DB" w:rsidP="004852DB">
          <w:pPr>
            <w:pStyle w:val="Footer"/>
            <w:rPr>
              <w:sz w:val="16"/>
              <w:szCs w:val="16"/>
            </w:rPr>
          </w:pPr>
          <w:r w:rsidRPr="00F2790E">
            <w:rPr>
              <w:sz w:val="16"/>
              <w:szCs w:val="16"/>
            </w:rPr>
            <w:t>Lukiškių g. 2, 01</w:t>
          </w:r>
          <w:r>
            <w:rPr>
              <w:sz w:val="16"/>
              <w:szCs w:val="16"/>
            </w:rPr>
            <w:t>108</w:t>
          </w:r>
          <w:r w:rsidRPr="00F2790E">
            <w:rPr>
              <w:sz w:val="16"/>
              <w:szCs w:val="16"/>
            </w:rPr>
            <w:t xml:space="preserve"> Vilnius</w:t>
          </w:r>
        </w:p>
      </w:tc>
      <w:tc>
        <w:tcPr>
          <w:tcW w:w="2977" w:type="dxa"/>
        </w:tcPr>
        <w:p w14:paraId="4A3017EC" w14:textId="77777777" w:rsidR="004852DB" w:rsidRDefault="004852DB" w:rsidP="004852DB">
          <w:pPr>
            <w:pStyle w:val="Footer"/>
            <w:rPr>
              <w:sz w:val="16"/>
              <w:szCs w:val="16"/>
            </w:rPr>
          </w:pPr>
          <w:r w:rsidRPr="00F2790E">
            <w:rPr>
              <w:sz w:val="16"/>
              <w:szCs w:val="16"/>
            </w:rPr>
            <w:t>Tel. </w:t>
          </w:r>
          <w:r>
            <w:rPr>
              <w:sz w:val="16"/>
              <w:szCs w:val="16"/>
            </w:rPr>
            <w:t xml:space="preserve">+370 5 </w:t>
          </w:r>
          <w:r w:rsidRPr="00F2790E">
            <w:rPr>
              <w:sz w:val="16"/>
              <w:szCs w:val="16"/>
            </w:rPr>
            <w:t xml:space="preserve"> 239 0000</w:t>
          </w:r>
        </w:p>
        <w:p w14:paraId="32128EE7" w14:textId="77777777" w:rsidR="004852DB" w:rsidRPr="00F2790E" w:rsidRDefault="004852DB" w:rsidP="004852DB">
          <w:pPr>
            <w:pStyle w:val="Footer"/>
            <w:rPr>
              <w:sz w:val="16"/>
              <w:szCs w:val="16"/>
            </w:rPr>
          </w:pPr>
          <w:r w:rsidRPr="00F2790E">
            <w:rPr>
              <w:sz w:val="16"/>
              <w:szCs w:val="16"/>
            </w:rPr>
            <w:t>El. p. finmin@finmin.lt</w:t>
          </w:r>
        </w:p>
      </w:tc>
      <w:tc>
        <w:tcPr>
          <w:tcW w:w="2835" w:type="dxa"/>
        </w:tcPr>
        <w:p w14:paraId="0D01096A" w14:textId="77777777" w:rsidR="004852DB" w:rsidRPr="00F2790E" w:rsidRDefault="004852DB" w:rsidP="004852DB">
          <w:pPr>
            <w:pStyle w:val="Footer"/>
            <w:rPr>
              <w:sz w:val="16"/>
              <w:szCs w:val="16"/>
            </w:rPr>
          </w:pPr>
          <w:r w:rsidRPr="00F2790E">
            <w:rPr>
              <w:sz w:val="16"/>
              <w:szCs w:val="16"/>
            </w:rPr>
            <w:t>Duomenys kaupiami ir saugomi Juridinių asmenų registre, kodas 288601650</w:t>
          </w:r>
        </w:p>
      </w:tc>
    </w:tr>
    <w:tr w:rsidR="004852DB" w:rsidRPr="00F2790E" w14:paraId="50676AEC" w14:textId="77777777" w:rsidTr="00767148">
      <w:tc>
        <w:tcPr>
          <w:tcW w:w="3584" w:type="dxa"/>
        </w:tcPr>
        <w:p w14:paraId="649A9689" w14:textId="77777777" w:rsidR="004852DB" w:rsidRPr="00F2790E" w:rsidRDefault="004852DB" w:rsidP="004852DB">
          <w:pPr>
            <w:pStyle w:val="Footer"/>
            <w:rPr>
              <w:sz w:val="16"/>
              <w:szCs w:val="16"/>
            </w:rPr>
          </w:pPr>
        </w:p>
      </w:tc>
      <w:tc>
        <w:tcPr>
          <w:tcW w:w="2977" w:type="dxa"/>
        </w:tcPr>
        <w:p w14:paraId="198DE4B5" w14:textId="77777777" w:rsidR="004852DB" w:rsidRPr="00F2790E" w:rsidRDefault="004852DB" w:rsidP="004852DB">
          <w:pPr>
            <w:pStyle w:val="Footer"/>
            <w:rPr>
              <w:sz w:val="16"/>
              <w:szCs w:val="16"/>
            </w:rPr>
          </w:pPr>
          <w:r w:rsidRPr="00F2790E">
            <w:rPr>
              <w:sz w:val="16"/>
              <w:szCs w:val="16"/>
            </w:rPr>
            <w:t>https://finmin.</w:t>
          </w:r>
          <w:r>
            <w:rPr>
              <w:sz w:val="16"/>
              <w:szCs w:val="16"/>
            </w:rPr>
            <w:t>lrv.</w:t>
          </w:r>
          <w:r w:rsidRPr="00F2790E">
            <w:rPr>
              <w:sz w:val="16"/>
              <w:szCs w:val="16"/>
            </w:rPr>
            <w:t>lt</w:t>
          </w:r>
        </w:p>
      </w:tc>
      <w:tc>
        <w:tcPr>
          <w:tcW w:w="2835" w:type="dxa"/>
        </w:tcPr>
        <w:p w14:paraId="738BAC8C" w14:textId="77777777" w:rsidR="004852DB" w:rsidRPr="00F2790E" w:rsidRDefault="004852DB" w:rsidP="004852DB">
          <w:pPr>
            <w:pStyle w:val="Footer"/>
            <w:rPr>
              <w:sz w:val="16"/>
              <w:szCs w:val="16"/>
            </w:rPr>
          </w:pPr>
        </w:p>
      </w:tc>
    </w:tr>
  </w:tbl>
  <w:p w14:paraId="2A7DC783" w14:textId="77777777" w:rsidR="004852DB" w:rsidRPr="006A4AF1" w:rsidRDefault="004852DB" w:rsidP="004852DB">
    <w:pPr>
      <w:ind w:right="227"/>
      <w:jc w:val="righ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B7F4" w14:textId="77777777" w:rsidR="00BA2C7E" w:rsidRDefault="00BA2C7E">
    <w:pPr>
      <w:ind w:right="22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96852" w14:textId="77777777" w:rsidR="00FE4E58" w:rsidRDefault="00FE4E58">
      <w:r>
        <w:separator/>
      </w:r>
    </w:p>
  </w:footnote>
  <w:footnote w:type="continuationSeparator" w:id="0">
    <w:p w14:paraId="4F7E5EAA" w14:textId="77777777" w:rsidR="00FE4E58" w:rsidRDefault="00FE4E58">
      <w:r>
        <w:continuationSeparator/>
      </w:r>
    </w:p>
  </w:footnote>
  <w:footnote w:id="1">
    <w:p w14:paraId="031422D2" w14:textId="77777777" w:rsidR="00AC39F8" w:rsidRDefault="00AC39F8" w:rsidP="00AC39F8">
      <w:pPr>
        <w:pStyle w:val="FootnoteText"/>
        <w:jc w:val="both"/>
      </w:pPr>
      <w:r>
        <w:rPr>
          <w:rStyle w:val="FootnoteReference"/>
          <w:rFonts w:eastAsiaTheme="majorEastAsia"/>
        </w:rPr>
        <w:footnoteRef/>
      </w:r>
      <w:r>
        <w:t xml:space="preserve"> Nekilnojamasis turtas, įranga ir įrenginiai – materialusis turtas, kuris laikomas prekėms gaminti ar tiekti arba paslaugoms kurti ar teikti, nuomoti kitiems ar administraciniams tikslams ir numatomas naudoti ilgiau negu vieną ataskaitinį laikotarpį.</w:t>
      </w:r>
    </w:p>
  </w:footnote>
  <w:footnote w:id="2">
    <w:p w14:paraId="36887AFA" w14:textId="77777777" w:rsidR="00AC39F8" w:rsidRDefault="00AC39F8" w:rsidP="00AC39F8">
      <w:pPr>
        <w:pStyle w:val="FootnoteText"/>
        <w:jc w:val="both"/>
      </w:pPr>
      <w:r>
        <w:rPr>
          <w:rStyle w:val="FootnoteReference"/>
          <w:rFonts w:eastAsiaTheme="majorEastAsia"/>
        </w:rPr>
        <w:footnoteRef/>
      </w:r>
      <w:r>
        <w:t xml:space="preserve"> Nekilnojamojo turto, įrangos ir įrenginių objekto savikaina turi būti pripažįstama turtu, jeigu tikėtina, kad subjektas iš to turto gaus būsimos ekonominės naudos, ir turto savikaina gali būti patikimai įvertinta.</w:t>
      </w:r>
    </w:p>
  </w:footnote>
  <w:footnote w:id="3">
    <w:p w14:paraId="2CE29480" w14:textId="77777777" w:rsidR="00AC39F8" w:rsidRDefault="00AC39F8" w:rsidP="00AC39F8">
      <w:pPr>
        <w:pStyle w:val="FootnoteText"/>
        <w:jc w:val="both"/>
      </w:pPr>
      <w:r>
        <w:rPr>
          <w:rStyle w:val="FootnoteReference"/>
          <w:rFonts w:eastAsiaTheme="majorEastAsia"/>
        </w:rPr>
        <w:footnoteRef/>
      </w:r>
      <w:r>
        <w:t xml:space="preserve"> Savikaina – sumokėta (mokėtina) pinigų ar pinigų ekvivalentų suma arba kito atlygio, suteikto įsigyjant turtą jo įsigijimo ar statybos metu, tikroji vertė; arba tam tikrais atvejais suma, minėtam turtui priskiriama jį pirmą kartą pripažįstant pagal konkrečius kitų </w:t>
      </w:r>
      <w:r>
        <w:rPr>
          <w:szCs w:val="24"/>
        </w:rPr>
        <w:t>tarptautinių apskaitos standartų</w:t>
      </w:r>
      <w:r>
        <w:t xml:space="preserve">, pvz., 2-ojo </w:t>
      </w:r>
      <w:r>
        <w:rPr>
          <w:szCs w:val="24"/>
        </w:rPr>
        <w:t>tarptautinio finansinės apskaitos standarto</w:t>
      </w:r>
      <w:r>
        <w:t xml:space="preserve"> „Akcijų verte pagrįstas mokėjimas“,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DB8A" w14:textId="77777777" w:rsidR="006D6847" w:rsidRDefault="006D68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A41313" w14:textId="77777777" w:rsidR="006D6847" w:rsidRDefault="006D684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9E910" w14:textId="77777777" w:rsidR="006D6847" w:rsidRDefault="006D68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15826">
      <w:rPr>
        <w:rStyle w:val="PageNumber"/>
        <w:noProof/>
      </w:rPr>
      <w:t>2</w:t>
    </w:r>
    <w:r>
      <w:rPr>
        <w:rStyle w:val="PageNumber"/>
      </w:rPr>
      <w:fldChar w:fldCharType="end"/>
    </w:r>
  </w:p>
  <w:p w14:paraId="740EEBEB" w14:textId="77777777" w:rsidR="006D6847" w:rsidRDefault="006D6847">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oM3pqeFBNbP7ARCKBZSmGW1MU9J9aH2P2v76jzEXJbyyJPVnKGCIeWeliIAQcmT6TmYvJ/ELLhhyEneGiepeg==" w:salt="Q4vkxEIC3S2J4VYTAMa0PA=="/>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505"/>
    <w:rsid w:val="00004C80"/>
    <w:rsid w:val="00020EF0"/>
    <w:rsid w:val="00021E0D"/>
    <w:rsid w:val="00024F57"/>
    <w:rsid w:val="0006768D"/>
    <w:rsid w:val="00073DC4"/>
    <w:rsid w:val="00085E41"/>
    <w:rsid w:val="00092EED"/>
    <w:rsid w:val="000C5C13"/>
    <w:rsid w:val="000D0765"/>
    <w:rsid w:val="000D6477"/>
    <w:rsid w:val="000F6D69"/>
    <w:rsid w:val="001116DB"/>
    <w:rsid w:val="001709BB"/>
    <w:rsid w:val="001807C1"/>
    <w:rsid w:val="00191A40"/>
    <w:rsid w:val="001E232C"/>
    <w:rsid w:val="002110AE"/>
    <w:rsid w:val="00230374"/>
    <w:rsid w:val="00273999"/>
    <w:rsid w:val="002960E7"/>
    <w:rsid w:val="002A2D7C"/>
    <w:rsid w:val="002D152C"/>
    <w:rsid w:val="002D2CE0"/>
    <w:rsid w:val="00311D89"/>
    <w:rsid w:val="00312275"/>
    <w:rsid w:val="00324E12"/>
    <w:rsid w:val="003363AA"/>
    <w:rsid w:val="00357BA2"/>
    <w:rsid w:val="00377439"/>
    <w:rsid w:val="003A3521"/>
    <w:rsid w:val="003B07E4"/>
    <w:rsid w:val="003B6505"/>
    <w:rsid w:val="00400B57"/>
    <w:rsid w:val="00416CFF"/>
    <w:rsid w:val="00420741"/>
    <w:rsid w:val="004316B9"/>
    <w:rsid w:val="0044264C"/>
    <w:rsid w:val="004446C2"/>
    <w:rsid w:val="004456DD"/>
    <w:rsid w:val="00447F02"/>
    <w:rsid w:val="00455130"/>
    <w:rsid w:val="00477591"/>
    <w:rsid w:val="004852DB"/>
    <w:rsid w:val="00485452"/>
    <w:rsid w:val="004968A2"/>
    <w:rsid w:val="004E592B"/>
    <w:rsid w:val="00526672"/>
    <w:rsid w:val="00557617"/>
    <w:rsid w:val="00563F0D"/>
    <w:rsid w:val="00570107"/>
    <w:rsid w:val="00571D38"/>
    <w:rsid w:val="00594C6D"/>
    <w:rsid w:val="005C1C33"/>
    <w:rsid w:val="005C2047"/>
    <w:rsid w:val="00607ABC"/>
    <w:rsid w:val="0062042B"/>
    <w:rsid w:val="00622A60"/>
    <w:rsid w:val="00645CA6"/>
    <w:rsid w:val="0068267F"/>
    <w:rsid w:val="00694895"/>
    <w:rsid w:val="006A0CCC"/>
    <w:rsid w:val="006C22E7"/>
    <w:rsid w:val="006D6847"/>
    <w:rsid w:val="006E4192"/>
    <w:rsid w:val="00702BD6"/>
    <w:rsid w:val="007075CD"/>
    <w:rsid w:val="00723855"/>
    <w:rsid w:val="007239AC"/>
    <w:rsid w:val="007400DD"/>
    <w:rsid w:val="00754C47"/>
    <w:rsid w:val="00755BB0"/>
    <w:rsid w:val="00776654"/>
    <w:rsid w:val="007B760C"/>
    <w:rsid w:val="007D7A78"/>
    <w:rsid w:val="007E74A0"/>
    <w:rsid w:val="00811EC7"/>
    <w:rsid w:val="00825A15"/>
    <w:rsid w:val="00882C24"/>
    <w:rsid w:val="008846BD"/>
    <w:rsid w:val="00886C6C"/>
    <w:rsid w:val="00895A02"/>
    <w:rsid w:val="008C16E9"/>
    <w:rsid w:val="008C46A5"/>
    <w:rsid w:val="008D3199"/>
    <w:rsid w:val="008E1506"/>
    <w:rsid w:val="00902293"/>
    <w:rsid w:val="00903A2F"/>
    <w:rsid w:val="0091615F"/>
    <w:rsid w:val="00964006"/>
    <w:rsid w:val="009908FC"/>
    <w:rsid w:val="009B2C1F"/>
    <w:rsid w:val="00A03579"/>
    <w:rsid w:val="00A06EC7"/>
    <w:rsid w:val="00A23C32"/>
    <w:rsid w:val="00A35F80"/>
    <w:rsid w:val="00A60513"/>
    <w:rsid w:val="00A63DDB"/>
    <w:rsid w:val="00A65210"/>
    <w:rsid w:val="00AA7086"/>
    <w:rsid w:val="00AC386C"/>
    <w:rsid w:val="00AC39F8"/>
    <w:rsid w:val="00AD0BD9"/>
    <w:rsid w:val="00AE26E3"/>
    <w:rsid w:val="00AE37E8"/>
    <w:rsid w:val="00AE64AA"/>
    <w:rsid w:val="00B2126F"/>
    <w:rsid w:val="00B944E4"/>
    <w:rsid w:val="00B94E4E"/>
    <w:rsid w:val="00BA2C7E"/>
    <w:rsid w:val="00BF2EC0"/>
    <w:rsid w:val="00C26AB8"/>
    <w:rsid w:val="00C968C5"/>
    <w:rsid w:val="00CB4C8C"/>
    <w:rsid w:val="00CB5673"/>
    <w:rsid w:val="00CC0261"/>
    <w:rsid w:val="00CD2053"/>
    <w:rsid w:val="00CE0467"/>
    <w:rsid w:val="00CE2C24"/>
    <w:rsid w:val="00D20E31"/>
    <w:rsid w:val="00D515B5"/>
    <w:rsid w:val="00D54DC3"/>
    <w:rsid w:val="00DA0AB5"/>
    <w:rsid w:val="00DB0FF6"/>
    <w:rsid w:val="00DD0A70"/>
    <w:rsid w:val="00DD40B2"/>
    <w:rsid w:val="00DF6581"/>
    <w:rsid w:val="00DF70B4"/>
    <w:rsid w:val="00E13F89"/>
    <w:rsid w:val="00E15826"/>
    <w:rsid w:val="00E2563C"/>
    <w:rsid w:val="00E269E0"/>
    <w:rsid w:val="00E41E44"/>
    <w:rsid w:val="00E65426"/>
    <w:rsid w:val="00E77789"/>
    <w:rsid w:val="00EE4434"/>
    <w:rsid w:val="00F01EF7"/>
    <w:rsid w:val="00F35544"/>
    <w:rsid w:val="00F75E7B"/>
    <w:rsid w:val="00F82072"/>
    <w:rsid w:val="00FA4BB7"/>
    <w:rsid w:val="00FA6084"/>
    <w:rsid w:val="00FC749D"/>
    <w:rsid w:val="00FE4E58"/>
    <w:rsid w:val="00FF5C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10843"/>
  <w15:docId w15:val="{B3C7F8A6-0700-4B3A-8DA9-AC38247A4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Hyperlink">
    <w:name w:val="Hyperlink"/>
    <w:rsid w:val="00526672"/>
    <w:rPr>
      <w:color w:val="0000FF"/>
      <w:u w:val="single"/>
    </w:rPr>
  </w:style>
  <w:style w:type="paragraph" w:styleId="HTMLPreformatted">
    <w:name w:val="HTML Preformatted"/>
    <w:basedOn w:val="Normal"/>
    <w:link w:val="HTMLPreformattedChar"/>
    <w:rsid w:val="00902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902293"/>
    <w:rPr>
      <w:rFonts w:ascii="Courier New" w:hAnsi="Courier New" w:cs="Courier New"/>
    </w:rPr>
  </w:style>
  <w:style w:type="paragraph" w:styleId="BalloonText">
    <w:name w:val="Balloon Text"/>
    <w:basedOn w:val="Normal"/>
    <w:link w:val="BalloonTextChar"/>
    <w:uiPriority w:val="99"/>
    <w:semiHidden/>
    <w:unhideWhenUsed/>
    <w:rsid w:val="00825A15"/>
    <w:rPr>
      <w:rFonts w:ascii="Tahoma" w:hAnsi="Tahoma" w:cs="Tahoma"/>
      <w:sz w:val="16"/>
      <w:szCs w:val="16"/>
    </w:rPr>
  </w:style>
  <w:style w:type="character" w:customStyle="1" w:styleId="BalloonTextChar">
    <w:name w:val="Balloon Text Char"/>
    <w:basedOn w:val="DefaultParagraphFont"/>
    <w:link w:val="BalloonText"/>
    <w:uiPriority w:val="99"/>
    <w:semiHidden/>
    <w:rsid w:val="00825A15"/>
    <w:rPr>
      <w:rFonts w:ascii="Tahoma" w:hAnsi="Tahoma" w:cs="Tahoma"/>
      <w:sz w:val="16"/>
      <w:szCs w:val="16"/>
    </w:rPr>
  </w:style>
  <w:style w:type="character" w:customStyle="1" w:styleId="FooterChar">
    <w:name w:val="Footer Char"/>
    <w:basedOn w:val="DefaultParagraphFont"/>
    <w:link w:val="Footer"/>
    <w:rsid w:val="009B2C1F"/>
    <w:rPr>
      <w:sz w:val="24"/>
    </w:rPr>
  </w:style>
  <w:style w:type="paragraph" w:styleId="FootnoteText">
    <w:name w:val="footnote text"/>
    <w:basedOn w:val="Normal"/>
    <w:link w:val="FootnoteTextChar"/>
    <w:uiPriority w:val="99"/>
    <w:semiHidden/>
    <w:unhideWhenUsed/>
    <w:rsid w:val="00882C24"/>
    <w:rPr>
      <w:sz w:val="20"/>
      <w:lang w:eastAsia="en-US"/>
    </w:rPr>
  </w:style>
  <w:style w:type="character" w:customStyle="1" w:styleId="FootnoteTextChar">
    <w:name w:val="Footnote Text Char"/>
    <w:basedOn w:val="DefaultParagraphFont"/>
    <w:link w:val="FootnoteText"/>
    <w:uiPriority w:val="99"/>
    <w:semiHidden/>
    <w:rsid w:val="00882C24"/>
    <w:rPr>
      <w:lang w:eastAsia="en-US"/>
    </w:rPr>
  </w:style>
  <w:style w:type="character" w:styleId="FootnoteReference">
    <w:name w:val="footnote reference"/>
    <w:basedOn w:val="DefaultParagraphFont"/>
    <w:uiPriority w:val="99"/>
    <w:semiHidden/>
    <w:unhideWhenUsed/>
    <w:rsid w:val="00882C24"/>
    <w:rPr>
      <w:vertAlign w:val="superscript"/>
    </w:rPr>
  </w:style>
  <w:style w:type="character" w:styleId="CommentReference">
    <w:name w:val="annotation reference"/>
    <w:basedOn w:val="DefaultParagraphFont"/>
    <w:semiHidden/>
    <w:rsid w:val="00FF5CE2"/>
    <w:rPr>
      <w:sz w:val="16"/>
    </w:rPr>
  </w:style>
  <w:style w:type="paragraph" w:styleId="CommentText">
    <w:name w:val="annotation text"/>
    <w:basedOn w:val="Normal"/>
    <w:link w:val="CommentTextChar"/>
    <w:semiHidden/>
    <w:rsid w:val="00FF5CE2"/>
    <w:rPr>
      <w:rFonts w:ascii="Arial" w:hAnsi="Arial" w:cs="Arial"/>
      <w:sz w:val="20"/>
      <w:lang w:eastAsia="en-US"/>
    </w:rPr>
  </w:style>
  <w:style w:type="character" w:customStyle="1" w:styleId="CommentTextChar">
    <w:name w:val="Comment Text Char"/>
    <w:basedOn w:val="DefaultParagraphFont"/>
    <w:link w:val="CommentText"/>
    <w:semiHidden/>
    <w:rsid w:val="00FF5CE2"/>
    <w:rPr>
      <w:rFonts w:ascii="Arial" w:hAnsi="Arial" w:cs="Arial"/>
      <w:lang w:eastAsia="en-US"/>
    </w:rPr>
  </w:style>
  <w:style w:type="character" w:styleId="UnresolvedMention">
    <w:name w:val="Unresolved Mention"/>
    <w:basedOn w:val="DefaultParagraphFont"/>
    <w:uiPriority w:val="99"/>
    <w:semiHidden/>
    <w:unhideWhenUsed/>
    <w:rsid w:val="00A35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nata.lebednykiene@finmin.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oreta.katiniene@finmin.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M:\BLANKAI\DOT_FOR.97\FIRMINIAI_2025\_Firmin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81A5C-289C-43F9-BBD2-065CD04A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_Firminis</Template>
  <TotalTime>30</TotalTime>
  <Pages>2</Pages>
  <Words>3973</Words>
  <Characters>2266</Characters>
  <Application>Microsoft Office Word</Application>
  <DocSecurity>8</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FM</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Katinienė</dc:creator>
  <cp:lastModifiedBy>Rūta Šimanskienė</cp:lastModifiedBy>
  <cp:revision>3</cp:revision>
  <cp:lastPrinted>2003-06-04T11:37:00Z</cp:lastPrinted>
  <dcterms:created xsi:type="dcterms:W3CDTF">2025-05-16T05:29:00Z</dcterms:created>
  <dcterms:modified xsi:type="dcterms:W3CDTF">2025-05-20T08:02:00Z</dcterms:modified>
</cp:coreProperties>
</file>