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92" w:type="dxa"/>
        <w:jc w:val="left"/>
        <w:tblInd w:w="0" w:type="dxa"/>
        <w:tblLayout w:type="fixed"/>
        <w:tblCellMar>
          <w:top w:w="0" w:type="dxa"/>
          <w:left w:w="0" w:type="dxa"/>
          <w:bottom w:w="0" w:type="dxa"/>
          <w:right w:w="0" w:type="dxa"/>
        </w:tblCellMar>
      </w:tblPr>
      <w:tblGrid>
        <w:gridCol w:w="23"/>
        <w:gridCol w:w="23"/>
        <w:gridCol w:w="23"/>
        <w:gridCol w:w="23"/>
        <w:gridCol w:w="23"/>
        <w:gridCol w:w="8954"/>
        <w:gridCol w:w="23"/>
      </w:tblGrid>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69" w:type="dxa"/>
              <w:jc w:val="left"/>
              <w:tblInd w:w="0" w:type="dxa"/>
              <w:tblLayout w:type="fixed"/>
              <w:tblCellMar>
                <w:top w:w="40" w:type="dxa"/>
                <w:left w:w="40" w:type="dxa"/>
                <w:bottom w:w="40" w:type="dxa"/>
                <w:right w:w="40" w:type="dxa"/>
              </w:tblCellMar>
            </w:tblPr>
            <w:tblGrid>
              <w:gridCol w:w="5091"/>
              <w:gridCol w:w="3978"/>
            </w:tblGrid>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b w:val="false"/>
                      <w:i w:val="false"/>
                      <w:color w:val="000000"/>
                      <w:sz w:val="24"/>
                    </w:rPr>
                    <w:t>PATVIRTINTA</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Klaipėdos rajono savivaldybės kontrolės ir audito tarnybos</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2025 m. rugsėjo 18 d.</w:t>
                  </w:r>
                </w:p>
              </w:tc>
            </w:tr>
            <w:tr>
              <w:trPr>
                <w:trHeight w:val="260" w:hRule="atLeast"/>
              </w:trPr>
              <w:tc>
                <w:tcPr>
                  <w:tcW w:w="5091" w:type="dxa"/>
                  <w:tcBorders/>
                </w:tcPr>
                <w:p>
                  <w:pPr>
                    <w:pStyle w:val="Normal"/>
                    <w:snapToGrid w:val="false"/>
                    <w:rPr/>
                  </w:pPr>
                  <w:r>
                    <w:rPr/>
                  </w:r>
                </w:p>
              </w:tc>
              <w:tc>
                <w:tcPr>
                  <w:tcW w:w="3978"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kontrolieriaus įsakymu Nr.: Ko1-7</w:t>
                  </w:r>
                </w:p>
              </w:tc>
            </w:tr>
            <w:tr>
              <w:trPr>
                <w:trHeight w:val="260" w:hRule="atLeast"/>
              </w:trPr>
              <w:tc>
                <w:tcPr>
                  <w:tcW w:w="9069" w:type="dxa"/>
                  <w:gridSpan w:val="2"/>
                  <w:tcBorders/>
                </w:tcPr>
                <w:p>
                  <w:pPr>
                    <w:pStyle w:val="Normal"/>
                    <w:snapToGrid w:val="false"/>
                    <w:rPr/>
                  </w:pPr>
                  <w:r>
                    <w:rPr/>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KLAIPĖDOS RAJONO SAVIVALDYBĖS KONTROLĖS IR AUDITO TARNYBOS</w:t>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VYRIAUSIOJO SPECIALISTO</w:t>
                  </w:r>
                </w:p>
              </w:tc>
            </w:tr>
            <w:tr>
              <w:trPr>
                <w:trHeight w:val="260" w:hRule="atLeast"/>
              </w:trPr>
              <w:tc>
                <w:tcPr>
                  <w:tcW w:w="9069" w:type="dxa"/>
                  <w:gridSpan w:val="2"/>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PAREIGYBĖS APRAŠYMAS</w:t>
                  </w:r>
                </w:p>
              </w:tc>
            </w:tr>
          </w:tbl>
          <w:p>
            <w:pPr>
              <w:pStyle w:val="Normal"/>
              <w:rPr/>
            </w:pPr>
            <w:r>
              <w:rPr/>
            </w:r>
          </w:p>
        </w:tc>
        <w:tc>
          <w:tcPr>
            <w:tcW w:w="23" w:type="dxa"/>
            <w:tcBorders/>
          </w:tcPr>
          <w:p>
            <w:pPr>
              <w:pStyle w:val="EmptyLayoutCell"/>
              <w:snapToGrid w:val="false"/>
              <w:rPr/>
            </w:pPr>
            <w:r>
              <w:rPr/>
            </w:r>
          </w:p>
        </w:tc>
      </w:tr>
      <w:tr>
        <w:trPr>
          <w:trHeight w:val="349"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72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PAREIGYBĖS CHARAKTERISTIKA</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 Pareigybės lygmuo – IX pareigybės lygmuo.</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2. Šias pareigas einantis valstybės tarnautojas tiesiogiai pavaldus savivaldybės kontrolieriui.</w:t>
                  </w:r>
                </w:p>
              </w:tc>
            </w:tr>
          </w:tbl>
          <w:p>
            <w:pPr>
              <w:pStyle w:val="Normal"/>
              <w:rPr/>
            </w:pPr>
            <w:r>
              <w:rPr/>
            </w:r>
          </w:p>
        </w:tc>
      </w:tr>
      <w:tr>
        <w:trPr>
          <w:trHeight w:val="12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II SKYRIUS</w:t>
                  </w:r>
                </w:p>
                <w:p>
                  <w:pPr>
                    <w:pStyle w:val="Normal"/>
                    <w:bidi w:val="0"/>
                    <w:jc w:val="center"/>
                    <w:rPr/>
                  </w:pPr>
                  <w:r>
                    <w:rPr>
                      <w:rFonts w:eastAsia="times New Roman" w:cs="times New Roman" w:ascii="times New Roman" w:hAnsi="times New Roman"/>
                      <w:b/>
                      <w:i w:val="false"/>
                      <w:color w:val="000000"/>
                      <w:sz w:val="24"/>
                    </w:rPr>
                    <w:t>VEIKLOS SRITIS</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3. Teisės aktų ir administracinių sprendimų įgyvendinimo ir laikymosi priežiūra.</w:t>
                        </w:r>
                      </w:p>
                    </w:tc>
                  </w:tr>
                </w:tbl>
                <w:p>
                  <w:pPr>
                    <w:pStyle w:val="Normal"/>
                    <w:rPr/>
                  </w:pPr>
                  <w:r>
                    <w:rPr/>
                  </w:r>
                </w:p>
              </w:tc>
            </w:tr>
          </w:tbl>
          <w:p>
            <w:pPr>
              <w:pStyle w:val="Normal"/>
              <w:rPr/>
            </w:pPr>
            <w:r>
              <w:rPr/>
            </w:r>
          </w:p>
        </w:tc>
      </w:tr>
      <w:tr>
        <w:trPr>
          <w:trHeight w:val="126"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III SKYRIUS</w:t>
                  </w:r>
                </w:p>
                <w:p>
                  <w:pPr>
                    <w:pStyle w:val="Normal"/>
                    <w:bidi w:val="0"/>
                    <w:jc w:val="center"/>
                    <w:rPr/>
                  </w:pPr>
                  <w:r>
                    <w:rPr>
                      <w:rFonts w:eastAsia="times New Roman" w:cs="times New Roman" w:ascii="times New Roman" w:hAnsi="times New Roman"/>
                      <w:b/>
                      <w:i w:val="false"/>
                      <w:color w:val="000000"/>
                      <w:sz w:val="24"/>
                    </w:rPr>
                    <w:t>PAREIGYBĖS SPECIALIZACIJA</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4. Išorės finansinių, atitikties ir veiklos auditų bei vertinimų atlikimas savivaldybės administracijoje, savivaldybės administravimo subjektuose ir savivaldybės valdomose įmonėse.</w:t>
                        </w:r>
                      </w:p>
                    </w:tc>
                  </w:tr>
                </w:tbl>
                <w:p>
                  <w:pPr>
                    <w:pStyle w:val="Normal"/>
                    <w:rPr/>
                  </w:pPr>
                  <w:r>
                    <w:rPr/>
                  </w:r>
                </w:p>
              </w:tc>
            </w:tr>
          </w:tbl>
          <w:p>
            <w:pPr>
              <w:pStyle w:val="Normal"/>
              <w:rPr/>
            </w:pPr>
            <w:r>
              <w:rPr/>
            </w:r>
          </w:p>
        </w:tc>
      </w:tr>
      <w:tr>
        <w:trPr>
          <w:trHeight w:val="10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00" w:type="dxa"/>
            <w:gridSpan w:val="3"/>
            <w:tcBorders/>
          </w:tcPr>
          <w:tbl>
            <w:tblPr>
              <w:tblW w:w="9070" w:type="dxa"/>
              <w:jc w:val="left"/>
              <w:tblInd w:w="0" w:type="dxa"/>
              <w:tblLayout w:type="fixed"/>
              <w:tblCellMar>
                <w:top w:w="0" w:type="dxa"/>
                <w:left w:w="0" w:type="dxa"/>
                <w:bottom w:w="0" w:type="dxa"/>
                <w:right w:w="0" w:type="dxa"/>
              </w:tblCellMar>
            </w:tblPr>
            <w:tblGrid>
              <w:gridCol w:w="9070"/>
            </w:tblGrid>
            <w:tr>
              <w:trPr>
                <w:trHeight w:val="680"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 xml:space="preserve">IV SKYRIUS </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FUNKCIJOS</w:t>
                        </w:r>
                      </w:p>
                    </w:tc>
                  </w:tr>
                </w:tbl>
                <w:p>
                  <w:pPr>
                    <w:pStyle w:val="Normal"/>
                    <w:rPr/>
                  </w:pPr>
                  <w:r>
                    <w:rPr/>
                  </w:r>
                </w:p>
              </w:tc>
            </w:tr>
          </w:tbl>
          <w:p>
            <w:pPr>
              <w:pStyle w:val="Normal"/>
              <w:rPr/>
            </w:pPr>
            <w:r>
              <w:rPr/>
            </w:r>
          </w:p>
        </w:tc>
      </w:tr>
      <w:tr>
        <w:trPr>
          <w:trHeight w:val="23"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9023" w:type="dxa"/>
            <w:gridSpan w:val="4"/>
            <w:tcBorders/>
          </w:tcPr>
          <w:tbl>
            <w:tblPr>
              <w:tblW w:w="9069" w:type="dxa"/>
              <w:jc w:val="left"/>
              <w:tblInd w:w="0" w:type="dxa"/>
              <w:tblLayout w:type="fixed"/>
              <w:tblCellMar>
                <w:top w:w="40" w:type="dxa"/>
                <w:left w:w="40" w:type="dxa"/>
                <w:bottom w:w="40" w:type="dxa"/>
                <w:right w:w="40" w:type="dxa"/>
              </w:tblCellMar>
            </w:tblPr>
            <w:tblGrid>
              <w:gridCol w:w="9069"/>
            </w:tblGrid>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5. Apdoroja su teisės aktų ir administracinių sprendimų įgyvendinimo ir laikymosi priežiūra susijusią informaciją arba prireikus koordinuoja susijusios informacijos apdorojimą.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6.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7. Rengia ir teikia pasiūlymus su teisės aktų ir administracinių sprendimų įgyvendinimo ir laikymosi priežiūra susijusiais klausimais.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8. Savivaldybės kontrolieriaus pavedimu atlieka audituojamų subjektų eilinius ir veiklos plane nenumatytus finansinius, atitikties ir veiklos auditus, vertinimus.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9. Tvarko atliekamo audito darbo dokumentus ir kitus dokumentus pagal dokumentų rengimo, tvarkymo ir apskaitos reikalavimus.</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10. Rengia su audito atlikimu susijusius dokumentus (raštus, pasiūlymus ir pan.).</w:t>
                  </w:r>
                </w:p>
              </w:tc>
            </w:tr>
            <w:tr>
              <w:trPr>
                <w:trHeight w:val="260" w:hRule="atLeast"/>
              </w:trPr>
              <w:tc>
                <w:tcPr>
                  <w:tcW w:w="9069"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11. Vykdo kitus nenuolatinio pobūdžio su įstaigos veikla susijusius pavedimus.</w:t>
                  </w:r>
                </w:p>
              </w:tc>
            </w:tr>
          </w:tbl>
          <w:p>
            <w:pPr>
              <w:pStyle w:val="Normal"/>
              <w:rPr/>
            </w:pPr>
            <w:r>
              <w:rPr/>
            </w:r>
          </w:p>
        </w:tc>
        <w:tc>
          <w:tcPr>
            <w:tcW w:w="23" w:type="dxa"/>
            <w:tcBorders/>
          </w:tcPr>
          <w:p>
            <w:pPr>
              <w:pStyle w:val="EmptyLayoutCell"/>
              <w:snapToGrid w:val="false"/>
              <w:rPr/>
            </w:pPr>
            <w:r>
              <w:rPr/>
            </w:r>
          </w:p>
        </w:tc>
      </w:tr>
      <w:tr>
        <w:trPr>
          <w:trHeight w:val="99"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77" w:type="dxa"/>
            <w:gridSpan w:val="2"/>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SPECIALIEJI REIKALAVIMAI</w:t>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12. Išsilavinimo ir darbo patirties reikalavimai:</w:t>
                  </w:r>
                  <w:r>
                    <w:rPr>
                      <w:rFonts w:eastAsia="times New Roman" w:cs="times New Roman" w:ascii="times New Roman" w:hAnsi="times New Roman"/>
                      <w:b w:val="false"/>
                      <w:i w:val="false"/>
                      <w:color w:val="FFFFFF"/>
                      <w:sz w:val="24"/>
                    </w:rPr>
                    <w:t>0</w:t>
                  </w:r>
                </w:p>
              </w:tc>
            </w:tr>
            <w:tr>
              <w:trPr>
                <w:trHeight w:val="3061" w:hRule="atLeast"/>
              </w:trPr>
              <w:tc>
                <w:tcPr>
                  <w:tcW w:w="9070" w:type="dxa"/>
                  <w:tcBorders/>
                  <w:tcMar>
                    <w:top w:w="0" w:type="dxa"/>
                    <w:left w:w="0" w:type="dxa"/>
                    <w:bottom w:w="0" w:type="dxa"/>
                    <w:right w:w="0" w:type="dxa"/>
                  </w:tcMar>
                </w:tcPr>
                <w:tbl>
                  <w:tblPr>
                    <w:tblW w:w="9070" w:type="dxa"/>
                    <w:jc w:val="left"/>
                    <w:tblInd w:w="0" w:type="dxa"/>
                    <w:tblLayout w:type="fixed"/>
                    <w:tblCellMar>
                      <w:top w:w="0" w:type="dxa"/>
                      <w:left w:w="0" w:type="dxa"/>
                      <w:bottom w:w="0" w:type="dxa"/>
                      <w:right w:w="0" w:type="dxa"/>
                    </w:tblCellMar>
                  </w:tblPr>
                  <w:tblGrid>
                    <w:gridCol w:w="9070"/>
                  </w:tblGrid>
                  <w:tr>
                    <w:trPr>
                      <w:trHeight w:val="1697"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12.1. išsilavinimas – aukštasis universitetinis išsilavinimas (bakalauro kvalifikacinis laipsnis) arba jam lygiavertė aukštojo mokslo kvalifikacija; </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12.2. studijų kryptis – finansai (arba);</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12.3. studijų kryptis – apskaita (arba);</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12.4. studijų kryptis – ekonomika (arba);</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12.5. studijų kryptis – teisė (arba);</w:t>
                              </w:r>
                            </w:p>
                          </w:tc>
                        </w:tr>
                      </w:tbl>
                      <w:p>
                        <w:pPr>
                          <w:pStyle w:val="Normal"/>
                          <w:rPr/>
                        </w:pPr>
                        <w:r>
                          <w:rPr/>
                        </w:r>
                      </w:p>
                    </w:tc>
                  </w:tr>
                  <w:tr>
                    <w:trPr>
                      <w:trHeight w:val="265" w:hRule="atLeast"/>
                    </w:trPr>
                    <w:tc>
                      <w:tcPr>
                        <w:tcW w:w="9070" w:type="dxa"/>
                        <w:tcBorders/>
                        <w:tcMar>
                          <w:top w:w="40" w:type="dxa"/>
                          <w:left w:w="40" w:type="dxa"/>
                          <w:bottom w:w="40" w:type="dxa"/>
                          <w:right w:w="40" w:type="dxa"/>
                        </w:tcMar>
                      </w:tcPr>
                      <w:p>
                        <w:pPr>
                          <w:pStyle w:val="Normal"/>
                          <w:bidi w:val="0"/>
                          <w:jc w:val="left"/>
                          <w:rPr>
                            <w:rFonts w:ascii="Arial" w:hAnsi="Arial" w:eastAsia="Arial" w:cs="Arial"/>
                            <w:b w:val="false"/>
                            <w:i w:val="false"/>
                            <w:i w:val="false"/>
                            <w:color w:val="000000"/>
                            <w:sz w:val="20"/>
                          </w:rPr>
                        </w:pPr>
                        <w:r>
                          <w:rPr>
                            <w:rFonts w:eastAsia="Arial" w:cs="Arial" w:ascii="Arial" w:hAnsi="Arial"/>
                            <w:b w:val="false"/>
                            <w:i w:val="false"/>
                            <w:color w:val="000000"/>
                            <w:sz w:val="20"/>
                          </w:rPr>
                          <w:t>arba:</w:t>
                        </w:r>
                      </w:p>
                    </w:tc>
                  </w:tr>
                  <w:tr>
                    <w:trPr>
                      <w:trHeight w:val="1018" w:hRule="atLeast"/>
                    </w:trPr>
                    <w:tc>
                      <w:tcPr>
                        <w:tcW w:w="9070" w:type="dxa"/>
                        <w:tcBorders/>
                      </w:tcPr>
                      <w:tbl>
                        <w:tblPr>
                          <w:tblW w:w="9070" w:type="dxa"/>
                          <w:jc w:val="left"/>
                          <w:tblInd w:w="0" w:type="dxa"/>
                          <w:tblLayout w:type="fixed"/>
                          <w:tblCellMar>
                            <w:top w:w="40" w:type="dxa"/>
                            <w:left w:w="40" w:type="dxa"/>
                            <w:bottom w:w="40" w:type="dxa"/>
                            <w:right w:w="40" w:type="dxa"/>
                          </w:tblCellMar>
                        </w:tblPr>
                        <w:tblGrid>
                          <w:gridCol w:w="9070"/>
                        </w:tblGrid>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12.6. išsilavinimas – aukštasis universitetinis išsilavinimas (bakalauro kvalifikacinis laipsnis) arba jam lygiavertė aukštojo mokslo kvalifikacija; </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12.7. darbo patirtis – audito arba vidaus audito srities patirtis;</w:t>
                              </w:r>
                            </w:p>
                          </w:tc>
                        </w:tr>
                        <w:tr>
                          <w:trPr>
                            <w:trHeight w:val="259"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 xml:space="preserve">12.8. darbo patirties trukmė – 1 metai; </w:t>
                              </w:r>
                            </w:p>
                          </w:tc>
                        </w:tr>
                      </w:tbl>
                      <w:p>
                        <w:pPr>
                          <w:pStyle w:val="Normal"/>
                          <w:rPr/>
                        </w:pPr>
                        <w:r>
                          <w:rPr/>
                        </w:r>
                      </w:p>
                    </w:tc>
                  </w:tr>
                </w:tbl>
                <w:p>
                  <w:pPr>
                    <w:pStyle w:val="Normal"/>
                    <w:rPr/>
                  </w:pPr>
                  <w:r>
                    <w:rPr/>
                  </w:r>
                </w:p>
              </w:tc>
            </w:tr>
          </w:tbl>
          <w:p>
            <w:pPr>
              <w:pStyle w:val="Normal"/>
              <w:rPr/>
            </w:pPr>
            <w:r>
              <w:rPr/>
            </w:r>
          </w:p>
        </w:tc>
      </w:tr>
      <w:tr>
        <w:trPr>
          <w:trHeight w:val="4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9069" w:type="dxa"/>
            <w:gridSpan w:val="6"/>
            <w:tcBorders/>
          </w:tcPr>
          <w:tbl>
            <w:tblPr>
              <w:tblW w:w="9070" w:type="dxa"/>
              <w:jc w:val="left"/>
              <w:tblInd w:w="0" w:type="dxa"/>
              <w:tblLayout w:type="fixed"/>
              <w:tblCellMar>
                <w:top w:w="40" w:type="dxa"/>
                <w:left w:w="40" w:type="dxa"/>
                <w:bottom w:w="40" w:type="dxa"/>
                <w:right w:w="40" w:type="dxa"/>
              </w:tblCellMar>
            </w:tblPr>
            <w:tblGrid>
              <w:gridCol w:w="9070"/>
            </w:tblGrid>
            <w:tr>
              <w:trPr>
                <w:trHeight w:val="600" w:hRule="atLeast"/>
              </w:trPr>
              <w:tc>
                <w:tcPr>
                  <w:tcW w:w="9070" w:type="dxa"/>
                  <w:tcBorders/>
                </w:tcPr>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VI SKYRIUS</w:t>
                  </w:r>
                </w:p>
                <w:p>
                  <w:pPr>
                    <w:pStyle w:val="Normal"/>
                    <w:bidi w:val="0"/>
                    <w:jc w:val="center"/>
                    <w:rPr>
                      <w:rFonts w:ascii="times New Roman" w:hAnsi="times New Roman" w:eastAsia="times New Roman" w:cs="times New Roman"/>
                      <w:b/>
                      <w:i w:val="false"/>
                      <w:i w:val="false"/>
                      <w:color w:val="000000"/>
                      <w:sz w:val="24"/>
                    </w:rPr>
                  </w:pPr>
                  <w:r>
                    <w:rPr>
                      <w:rFonts w:eastAsia="times New Roman" w:cs="times New Roman" w:ascii="times New Roman" w:hAnsi="times New Roman"/>
                      <w:b/>
                      <w:i w:val="false"/>
                      <w:color w:val="000000"/>
                      <w:sz w:val="24"/>
                    </w:rPr>
                    <w:t>KOMPETENCIJOS</w:t>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13. Bendrosios kompetencijos ir jų pakankami lygiai:</w:t>
                  </w:r>
                  <w:r>
                    <w:rPr>
                      <w:rFonts w:eastAsia="times New Roman" w:cs="times New Roman" w:ascii="times New Roman" w:hAnsi="times New Roman"/>
                      <w:b w:val="false"/>
                      <w:i w:val="false"/>
                      <w:color w:val="FFFFFF"/>
                      <w:sz w:val="24"/>
                    </w:rPr>
                    <w:t>0</w:t>
                  </w:r>
                </w:p>
              </w:tc>
            </w:tr>
            <w:tr>
              <w:trPr>
                <w:trHeight w:val="170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13.1. komunikacija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13.2. analizė ir pagrindimas – 4;</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13.3. patikimumas ir atsakingumas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13.4. organizuotumas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13.5. vertės visuomenei kūrimas – 3.</w:t>
                        </w:r>
                      </w:p>
                    </w:tc>
                  </w:tr>
                </w:tbl>
                <w:p>
                  <w:pPr>
                    <w:pStyle w:val="Normal"/>
                    <w:rPr/>
                  </w:pPr>
                  <w:r>
                    <w:rPr/>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14. Specifinės kompetencijos ir jų pakankami lygiai:</w:t>
                  </w:r>
                  <w:r>
                    <w:rPr>
                      <w:rFonts w:eastAsia="times New Roman" w:cs="times New Roman" w:ascii="times New Roman" w:hAnsi="times New Roman"/>
                      <w:b w:val="false"/>
                      <w:i w:val="false"/>
                      <w:color w:val="FFFFFF"/>
                      <w:sz w:val="24"/>
                    </w:rPr>
                    <w:t>0</w:t>
                  </w:r>
                </w:p>
              </w:tc>
            </w:tr>
            <w:tr>
              <w:trPr>
                <w:trHeight w:val="68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14.1. kontrolės ir priežiūros proceso valdymas – 3;</w:t>
                        </w:r>
                      </w:p>
                    </w:tc>
                  </w:tr>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14.2. informacijos valdymas – 3.</w:t>
                        </w:r>
                      </w:p>
                    </w:tc>
                  </w:tr>
                </w:tbl>
                <w:p>
                  <w:pPr>
                    <w:pStyle w:val="Normal"/>
                    <w:rPr/>
                  </w:pPr>
                  <w:r>
                    <w:rPr/>
                  </w:r>
                </w:p>
              </w:tc>
            </w:tr>
            <w:tr>
              <w:trPr>
                <w:trHeight w:val="260" w:hRule="atLeast"/>
              </w:trPr>
              <w:tc>
                <w:tcPr>
                  <w:tcW w:w="9070" w:type="dxa"/>
                  <w:tcBorders/>
                </w:tcPr>
                <w:p>
                  <w:pPr>
                    <w:pStyle w:val="Normal"/>
                    <w:bidi w:val="0"/>
                    <w:jc w:val="left"/>
                    <w:rPr/>
                  </w:pPr>
                  <w:r>
                    <w:rPr>
                      <w:rFonts w:eastAsia="times New Roman" w:cs="times New Roman" w:ascii="times New Roman" w:hAnsi="times New Roman"/>
                      <w:b w:val="false"/>
                      <w:i w:val="false"/>
                      <w:color w:val="000000"/>
                      <w:sz w:val="24"/>
                    </w:rPr>
                    <w:t>15. Profesinės kompetencijos ir jų pakankami lygiai:</w:t>
                  </w:r>
                  <w:r>
                    <w:rPr>
                      <w:rFonts w:eastAsia="times New Roman" w:cs="times New Roman" w:ascii="times New Roman" w:hAnsi="times New Roman"/>
                      <w:b w:val="false"/>
                      <w:i w:val="false"/>
                      <w:color w:val="FFFFFF"/>
                      <w:sz w:val="24"/>
                    </w:rPr>
                    <w:t>0</w:t>
                  </w:r>
                </w:p>
              </w:tc>
            </w:tr>
            <w:tr>
              <w:trPr>
                <w:trHeight w:val="340" w:hRule="atLeast"/>
              </w:trPr>
              <w:tc>
                <w:tcPr>
                  <w:tcW w:w="9070" w:type="dxa"/>
                  <w:tcBorders/>
                  <w:tcMar>
                    <w:top w:w="0" w:type="dxa"/>
                    <w:left w:w="0" w:type="dxa"/>
                    <w:bottom w:w="0" w:type="dxa"/>
                    <w:right w:w="0" w:type="dxa"/>
                  </w:tcMar>
                </w:tcPr>
                <w:tbl>
                  <w:tblPr>
                    <w:tblW w:w="9070" w:type="dxa"/>
                    <w:jc w:val="left"/>
                    <w:tblInd w:w="0" w:type="dxa"/>
                    <w:tblLayout w:type="fixed"/>
                    <w:tblCellMar>
                      <w:top w:w="40" w:type="dxa"/>
                      <w:left w:w="40" w:type="dxa"/>
                      <w:bottom w:w="40" w:type="dxa"/>
                      <w:right w:w="40" w:type="dxa"/>
                    </w:tblCellMar>
                  </w:tblPr>
                  <w:tblGrid>
                    <w:gridCol w:w="9070"/>
                  </w:tblGrid>
                  <w:tr>
                    <w:trPr>
                      <w:trHeight w:val="260" w:hRule="atLeast"/>
                    </w:trPr>
                    <w:tc>
                      <w:tcPr>
                        <w:tcW w:w="9070"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15.1. dokumentų valdymas – 3.</w:t>
                        </w:r>
                      </w:p>
                    </w:tc>
                  </w:tr>
                </w:tbl>
                <w:p>
                  <w:pPr>
                    <w:pStyle w:val="Normal"/>
                    <w:rPr/>
                  </w:pPr>
                  <w:r>
                    <w:rPr/>
                  </w:r>
                </w:p>
              </w:tc>
            </w:tr>
          </w:tbl>
          <w:p>
            <w:pPr>
              <w:pStyle w:val="Normal"/>
              <w:rPr/>
            </w:pPr>
            <w:r>
              <w:rPr/>
            </w:r>
          </w:p>
        </w:tc>
        <w:tc>
          <w:tcPr>
            <w:tcW w:w="23" w:type="dxa"/>
            <w:tcBorders/>
          </w:tcPr>
          <w:p>
            <w:pPr>
              <w:pStyle w:val="EmptyLayoutCell"/>
              <w:snapToGrid w:val="false"/>
              <w:rPr/>
            </w:pPr>
            <w:r>
              <w:rPr/>
            </w:r>
          </w:p>
        </w:tc>
      </w:tr>
      <w:tr>
        <w:trPr>
          <w:trHeight w:val="450"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r>
        <w:trPr/>
        <w:tc>
          <w:tcPr>
            <w:tcW w:w="23" w:type="dxa"/>
            <w:tcBorders/>
          </w:tcPr>
          <w:p>
            <w:pPr>
              <w:pStyle w:val="EmptyLayoutCell"/>
              <w:snapToGrid w:val="false"/>
              <w:rPr/>
            </w:pPr>
            <w:r>
              <w:rPr/>
            </w:r>
          </w:p>
        </w:tc>
        <w:tc>
          <w:tcPr>
            <w:tcW w:w="9046" w:type="dxa"/>
            <w:gridSpan w:val="5"/>
            <w:tcBorders/>
          </w:tcPr>
          <w:tbl>
            <w:tblPr>
              <w:tblW w:w="9070" w:type="dxa"/>
              <w:jc w:val="left"/>
              <w:tblInd w:w="0" w:type="dxa"/>
              <w:tblLayout w:type="fixed"/>
              <w:tblCellMar>
                <w:top w:w="40" w:type="dxa"/>
                <w:left w:w="40" w:type="dxa"/>
                <w:bottom w:w="40" w:type="dxa"/>
                <w:right w:w="40" w:type="dxa"/>
              </w:tblCellMar>
            </w:tblPr>
            <w:tblGrid>
              <w:gridCol w:w="3401"/>
              <w:gridCol w:w="5669"/>
            </w:tblGrid>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4"/>
                    </w:rPr>
                  </w:pPr>
                  <w:r>
                    <w:rPr>
                      <w:rFonts w:eastAsia="times New Roman" w:cs="times New Roman" w:ascii="times New Roman" w:hAnsi="times New Roman"/>
                      <w:b w:val="false"/>
                      <w:i w:val="false"/>
                      <w:color w:val="000000"/>
                      <w:sz w:val="24"/>
                    </w:rPr>
                    <w:t>Susipažinau</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(Parašas)</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(Vardas ir pavardė)</w:t>
                  </w:r>
                </w:p>
              </w:tc>
              <w:tc>
                <w:tcPr>
                  <w:tcW w:w="5669" w:type="dxa"/>
                  <w:tcBorders/>
                </w:tcPr>
                <w:p>
                  <w:pPr>
                    <w:pStyle w:val="Normal"/>
                    <w:snapToGrid w:val="false"/>
                    <w:rPr/>
                  </w:pPr>
                  <w:r>
                    <w:rPr/>
                  </w:r>
                </w:p>
              </w:tc>
            </w:tr>
            <w:tr>
              <w:trPr>
                <w:trHeight w:val="260" w:hRule="atLeast"/>
              </w:trPr>
              <w:tc>
                <w:tcPr>
                  <w:tcW w:w="3401" w:type="dxa"/>
                  <w:tcBorders>
                    <w:bottom w:val="single" w:sz="2" w:space="0" w:color="000000"/>
                  </w:tcBorders>
                </w:tcPr>
                <w:p>
                  <w:pPr>
                    <w:pStyle w:val="Normal"/>
                    <w:snapToGrid w:val="false"/>
                    <w:rPr/>
                  </w:pPr>
                  <w:r>
                    <w:rPr/>
                  </w:r>
                </w:p>
              </w:tc>
              <w:tc>
                <w:tcPr>
                  <w:tcW w:w="5669" w:type="dxa"/>
                  <w:tcBorders/>
                </w:tcPr>
                <w:p>
                  <w:pPr>
                    <w:pStyle w:val="Normal"/>
                    <w:snapToGrid w:val="false"/>
                    <w:rPr/>
                  </w:pPr>
                  <w:r>
                    <w:rPr/>
                  </w:r>
                </w:p>
              </w:tc>
            </w:tr>
            <w:tr>
              <w:trPr>
                <w:trHeight w:val="260" w:hRule="atLeast"/>
              </w:trPr>
              <w:tc>
                <w:tcPr>
                  <w:tcW w:w="3401" w:type="dxa"/>
                  <w:tcBorders/>
                </w:tcPr>
                <w:p>
                  <w:pPr>
                    <w:pStyle w:val="Normal"/>
                    <w:bidi w:val="0"/>
                    <w:jc w:val="left"/>
                    <w:rPr>
                      <w:rFonts w:ascii="times New Roman" w:hAnsi="times New Roman" w:eastAsia="times New Roman" w:cs="times New Roman"/>
                      <w:b w:val="false"/>
                      <w:i w:val="false"/>
                      <w:i w:val="false"/>
                      <w:color w:val="000000"/>
                      <w:sz w:val="20"/>
                    </w:rPr>
                  </w:pPr>
                  <w:r>
                    <w:rPr>
                      <w:rFonts w:eastAsia="times New Roman" w:cs="times New Roman" w:ascii="times New Roman" w:hAnsi="times New Roman"/>
                      <w:b w:val="false"/>
                      <w:i w:val="false"/>
                      <w:color w:val="000000"/>
                      <w:sz w:val="20"/>
                    </w:rPr>
                    <w:t>(Data)</w:t>
                  </w:r>
                </w:p>
              </w:tc>
              <w:tc>
                <w:tcPr>
                  <w:tcW w:w="5669" w:type="dxa"/>
                  <w:tcBorders/>
                </w:tcPr>
                <w:p>
                  <w:pPr>
                    <w:pStyle w:val="Normal"/>
                    <w:snapToGrid w:val="false"/>
                    <w:rPr/>
                  </w:pPr>
                  <w:r>
                    <w:rPr/>
                  </w:r>
                </w:p>
              </w:tc>
            </w:tr>
            <w:tr>
              <w:trPr>
                <w:trHeight w:val="260" w:hRule="atLeast"/>
              </w:trPr>
              <w:tc>
                <w:tcPr>
                  <w:tcW w:w="3401" w:type="dxa"/>
                  <w:tcBorders/>
                </w:tcPr>
                <w:p>
                  <w:pPr>
                    <w:pStyle w:val="Normal"/>
                    <w:snapToGrid w:val="false"/>
                    <w:rPr/>
                  </w:pPr>
                  <w:r>
                    <w:rPr/>
                  </w:r>
                </w:p>
              </w:tc>
              <w:tc>
                <w:tcPr>
                  <w:tcW w:w="5669" w:type="dxa"/>
                  <w:tcBorders/>
                </w:tcPr>
                <w:p>
                  <w:pPr>
                    <w:pStyle w:val="Normal"/>
                    <w:snapToGrid w:val="false"/>
                    <w:rPr/>
                  </w:pPr>
                  <w:r>
                    <w:rPr/>
                  </w:r>
                </w:p>
              </w:tc>
            </w:tr>
          </w:tbl>
          <w:p>
            <w:pPr>
              <w:pStyle w:val="Normal"/>
              <w:rPr/>
            </w:pPr>
            <w:r>
              <w:rPr/>
            </w:r>
          </w:p>
        </w:tc>
        <w:tc>
          <w:tcPr>
            <w:tcW w:w="23" w:type="dxa"/>
            <w:tcBorders/>
          </w:tcPr>
          <w:p>
            <w:pPr>
              <w:pStyle w:val="EmptyLayoutCell"/>
              <w:snapToGrid w:val="false"/>
              <w:rPr/>
            </w:pPr>
            <w:r>
              <w:rPr/>
            </w:r>
          </w:p>
        </w:tc>
      </w:tr>
      <w:tr>
        <w:trPr>
          <w:trHeight w:val="911" w:hRule="atLeast"/>
        </w:trPr>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23" w:type="dxa"/>
            <w:tcBorders/>
          </w:tcPr>
          <w:p>
            <w:pPr>
              <w:pStyle w:val="EmptyLayoutCell"/>
              <w:snapToGrid w:val="false"/>
              <w:rPr/>
            </w:pPr>
            <w:r>
              <w:rPr/>
            </w:r>
          </w:p>
        </w:tc>
        <w:tc>
          <w:tcPr>
            <w:tcW w:w="8954" w:type="dxa"/>
            <w:tcBorders/>
          </w:tcPr>
          <w:p>
            <w:pPr>
              <w:pStyle w:val="EmptyLayoutCell"/>
              <w:snapToGrid w:val="false"/>
              <w:rPr/>
            </w:pPr>
            <w:r>
              <w:rPr/>
            </w:r>
          </w:p>
        </w:tc>
        <w:tc>
          <w:tcPr>
            <w:tcW w:w="23" w:type="dxa"/>
            <w:tcBorders/>
          </w:tcPr>
          <w:p>
            <w:pPr>
              <w:pStyle w:val="EmptyLayoutCell"/>
              <w:snapToGrid w:val="false"/>
              <w:rPr/>
            </w:pPr>
            <w:r>
              <w:rPr/>
            </w:r>
          </w:p>
        </w:tc>
      </w:tr>
    </w:tbl>
    <w:p>
      <w:pPr>
        <w:pStyle w:val="Normal"/>
        <w:rPr/>
      </w:pPr>
      <w:r>
        <w:rPr/>
      </w:r>
    </w:p>
    <w:sectPr>
      <w:type w:val="nextPage"/>
      <w:pgSz w:w="11906" w:h="16838"/>
      <w:pgMar w:left="1700" w:right="566" w:gutter="0" w:header="0" w:top="1133" w:footer="0" w:bottom="113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times New Roman">
    <w:charset w:val="ba"/>
    <w:family w:val="roman"/>
    <w:pitch w:val="variable"/>
  </w:font>
  <w:font w:name="Arial">
    <w:charset w:val="ba"/>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lt-LT"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mptyLayoutCell">
    <w:name w:val="EmptyLayoutCell"/>
    <w:basedOn w:val="Normal"/>
    <w:qFormat/>
    <w:pPr/>
    <w:rPr>
      <w:sz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1</Pages>
  <Words>365</Words>
  <Characters>2691</Characters>
  <CharactersWithSpaces>3022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lt-LT</dc:language>
  <cp:lastModifiedBy/>
  <cp:revision>0</cp:revision>
  <dc:subject/>
  <dc:title>PAR_Spausdinimas</dc:title>
</cp:coreProperties>
</file>